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2023年农资产品质量</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行政执法抽样检测服务询价公告</w:t>
      </w: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_GB2312" w:cs="Times New Roman"/>
          <w:sz w:val="32"/>
          <w:szCs w:val="32"/>
          <w:highlight w:val="none"/>
          <w:lang w:val="en-US" w:eastAsia="zh-CN"/>
        </w:rPr>
      </w:pPr>
      <w:r>
        <w:rPr>
          <w:rFonts w:hint="eastAsia" w:ascii="仿宋_GB2312" w:hAnsi="仿宋_GB2312" w:eastAsia="仿宋_GB2312" w:cs="仿宋_GB2312"/>
          <w:sz w:val="32"/>
          <w:szCs w:val="32"/>
          <w:lang w:val="en-US" w:eastAsia="zh-CN"/>
        </w:rPr>
        <w:t>为严格履实《农产品质量安全法》、《农药管理条例》、《饲料和饲料添加剂管理条例》、《江苏省农产品质量安全条例》、《肥料登记管理办法》等法律法规赋予的监督检查职责，充分发挥农资产品质量监管工作中的行政执法效力，持续提升农业行政执法抽样检测工作的科学性和规范性，相城区农业农村局拟邀请</w:t>
      </w:r>
      <w:r>
        <w:rPr>
          <w:rFonts w:ascii="Times New Roman" w:hAnsi="Times New Roman" w:eastAsia="仿宋_GB2312" w:cs="Times New Roman"/>
          <w:sz w:val="32"/>
          <w:szCs w:val="32"/>
          <w:highlight w:val="none"/>
        </w:rPr>
        <w:t>符合要求并有意向的优质</w:t>
      </w:r>
      <w:r>
        <w:rPr>
          <w:rFonts w:hint="eastAsia" w:ascii="Times New Roman" w:hAnsi="Times New Roman" w:eastAsia="仿宋_GB2312" w:cs="Times New Roman"/>
          <w:sz w:val="32"/>
          <w:szCs w:val="32"/>
          <w:highlight w:val="none"/>
        </w:rPr>
        <w:t>服务</w:t>
      </w:r>
      <w:r>
        <w:rPr>
          <w:rFonts w:ascii="Times New Roman" w:hAnsi="Times New Roman" w:eastAsia="仿宋_GB2312" w:cs="Times New Roman"/>
          <w:sz w:val="32"/>
          <w:szCs w:val="32"/>
          <w:highlight w:val="none"/>
        </w:rPr>
        <w:t>商参加</w:t>
      </w:r>
      <w:r>
        <w:rPr>
          <w:rFonts w:hint="eastAsia" w:ascii="Times New Roman" w:hAnsi="Times New Roman" w:eastAsia="仿宋_GB2312" w:cs="Times New Roman"/>
          <w:sz w:val="32"/>
          <w:szCs w:val="32"/>
          <w:highlight w:val="none"/>
          <w:lang w:val="en-US" w:eastAsia="zh-CN"/>
        </w:rPr>
        <w:t>2023年农资产品质量行政执法抽样检测服务采购报价。</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eastAsia" w:ascii="黑体" w:hAnsi="黑体" w:eastAsia="黑体" w:cs="黑体"/>
          <w:sz w:val="32"/>
          <w:szCs w:val="32"/>
          <w:highlight w:val="none"/>
          <w:lang w:val="en-US" w:eastAsia="zh-CN"/>
        </w:rPr>
      </w:pPr>
      <w:r>
        <w:rPr>
          <w:rFonts w:hint="eastAsia" w:ascii="黑体" w:hAnsi="黑体" w:eastAsia="黑体" w:cs="黑体"/>
          <w:sz w:val="32"/>
          <w:szCs w:val="32"/>
          <w:highlight w:val="none"/>
          <w:lang w:val="en-US" w:eastAsia="zh-CN"/>
        </w:rPr>
        <w:t>一、服务内容</w:t>
      </w:r>
    </w:p>
    <w:tbl>
      <w:tblPr>
        <w:tblStyle w:val="4"/>
        <w:tblpPr w:leftFromText="180" w:rightFromText="180" w:vertAnchor="text" w:horzAnchor="page" w:tblpX="2569" w:tblpY="2436"/>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6"/>
        <w:gridCol w:w="4273"/>
        <w:gridCol w:w="22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73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center"/>
              <w:textAlignment w:val="auto"/>
              <w:rPr>
                <w:rFonts w:hint="default" w:ascii="黑体" w:hAnsi="黑体" w:eastAsia="黑体" w:cs="黑体"/>
                <w:sz w:val="24"/>
                <w:szCs w:val="24"/>
                <w:highlight w:val="none"/>
                <w:vertAlign w:val="baseline"/>
                <w:lang w:val="en-US" w:eastAsia="zh-CN"/>
              </w:rPr>
            </w:pPr>
            <w:r>
              <w:rPr>
                <w:rFonts w:hint="eastAsia" w:ascii="黑体" w:hAnsi="黑体" w:eastAsia="黑体" w:cs="黑体"/>
                <w:sz w:val="24"/>
                <w:szCs w:val="24"/>
                <w:highlight w:val="none"/>
                <w:vertAlign w:val="baseline"/>
                <w:lang w:val="en-US" w:eastAsia="zh-CN"/>
              </w:rPr>
              <w:t>序号</w:t>
            </w:r>
          </w:p>
        </w:tc>
        <w:tc>
          <w:tcPr>
            <w:tcW w:w="4273"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center"/>
              <w:textAlignment w:val="auto"/>
              <w:rPr>
                <w:rFonts w:hint="default" w:ascii="黑体" w:hAnsi="黑体" w:eastAsia="黑体" w:cs="黑体"/>
                <w:sz w:val="24"/>
                <w:szCs w:val="24"/>
                <w:highlight w:val="none"/>
                <w:vertAlign w:val="baseline"/>
                <w:lang w:val="en-US" w:eastAsia="zh-CN"/>
              </w:rPr>
            </w:pPr>
            <w:r>
              <w:rPr>
                <w:rFonts w:hint="eastAsia" w:ascii="黑体" w:hAnsi="黑体" w:eastAsia="黑体" w:cs="黑体"/>
                <w:sz w:val="24"/>
                <w:szCs w:val="24"/>
                <w:highlight w:val="none"/>
                <w:vertAlign w:val="baseline"/>
                <w:lang w:val="en-US" w:eastAsia="zh-CN"/>
              </w:rPr>
              <w:t>品类</w:t>
            </w:r>
          </w:p>
        </w:tc>
        <w:tc>
          <w:tcPr>
            <w:tcW w:w="225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center"/>
              <w:textAlignment w:val="auto"/>
              <w:rPr>
                <w:rFonts w:hint="default" w:ascii="黑体" w:hAnsi="黑体" w:eastAsia="黑体" w:cs="黑体"/>
                <w:sz w:val="24"/>
                <w:szCs w:val="24"/>
                <w:highlight w:val="none"/>
                <w:vertAlign w:val="baseline"/>
                <w:lang w:val="en-US" w:eastAsia="zh-CN"/>
              </w:rPr>
            </w:pPr>
            <w:r>
              <w:rPr>
                <w:rFonts w:hint="eastAsia" w:ascii="黑体" w:hAnsi="黑体" w:eastAsia="黑体" w:cs="黑体"/>
                <w:sz w:val="24"/>
                <w:szCs w:val="24"/>
                <w:highlight w:val="none"/>
                <w:vertAlign w:val="baseline"/>
                <w:lang w:val="en-US" w:eastAsia="zh-CN"/>
              </w:rPr>
              <w:t>数量（批次）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center"/>
              <w:textAlignment w:val="auto"/>
              <w:rPr>
                <w:rFonts w:hint="eastAsia" w:asciiTheme="minorEastAsia" w:hAnsiTheme="minorEastAsia" w:eastAsiaTheme="minorEastAsia" w:cstheme="minorEastAsia"/>
                <w:sz w:val="24"/>
                <w:szCs w:val="24"/>
                <w:highlight w:val="none"/>
                <w:vertAlign w:val="baseline"/>
                <w:lang w:val="en-US" w:eastAsia="zh-CN"/>
              </w:rPr>
            </w:pPr>
            <w:r>
              <w:rPr>
                <w:rFonts w:hint="eastAsia" w:asciiTheme="minorEastAsia" w:hAnsiTheme="minorEastAsia" w:eastAsiaTheme="minorEastAsia" w:cstheme="minorEastAsia"/>
                <w:sz w:val="24"/>
                <w:szCs w:val="24"/>
                <w:highlight w:val="none"/>
                <w:vertAlign w:val="baseline"/>
                <w:lang w:val="en-US" w:eastAsia="zh-CN"/>
              </w:rPr>
              <w:t>1</w:t>
            </w:r>
          </w:p>
        </w:tc>
        <w:tc>
          <w:tcPr>
            <w:tcW w:w="4273"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center"/>
              <w:textAlignment w:val="auto"/>
              <w:rPr>
                <w:rFonts w:hint="eastAsia" w:asciiTheme="minorEastAsia" w:hAnsiTheme="minorEastAsia" w:eastAsiaTheme="minorEastAsia" w:cstheme="minorEastAsia"/>
                <w:sz w:val="24"/>
                <w:szCs w:val="24"/>
                <w:highlight w:val="none"/>
                <w:vertAlign w:val="baseline"/>
                <w:lang w:val="en-US" w:eastAsia="zh-CN"/>
              </w:rPr>
            </w:pPr>
            <w:r>
              <w:rPr>
                <w:rFonts w:hint="eastAsia" w:asciiTheme="minorEastAsia" w:hAnsiTheme="minorEastAsia" w:cstheme="minorEastAsia"/>
                <w:sz w:val="24"/>
                <w:szCs w:val="24"/>
                <w:highlight w:val="none"/>
                <w:vertAlign w:val="baseline"/>
                <w:lang w:val="en-US" w:eastAsia="zh-CN"/>
              </w:rPr>
              <w:t>农药</w:t>
            </w:r>
          </w:p>
        </w:tc>
        <w:tc>
          <w:tcPr>
            <w:tcW w:w="2250" w:type="dxa"/>
            <w:vMerge w:val="restart"/>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center"/>
              <w:textAlignment w:val="auto"/>
              <w:rPr>
                <w:rFonts w:hint="default" w:asciiTheme="minorEastAsia" w:hAnsiTheme="minorEastAsia" w:eastAsiaTheme="minorEastAsia" w:cstheme="minorEastAsia"/>
                <w:sz w:val="24"/>
                <w:szCs w:val="24"/>
                <w:highlight w:val="none"/>
                <w:vertAlign w:val="baseline"/>
                <w:lang w:val="en-US" w:eastAsia="zh-CN"/>
              </w:rPr>
            </w:pPr>
            <w:r>
              <w:rPr>
                <w:rFonts w:hint="eastAsia" w:asciiTheme="minorEastAsia" w:hAnsiTheme="minorEastAsia" w:cstheme="minorEastAsia"/>
                <w:sz w:val="24"/>
                <w:szCs w:val="24"/>
                <w:highlight w:val="none"/>
                <w:vertAlign w:val="baseline"/>
                <w:lang w:val="en-US" w:eastAsia="zh-CN"/>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center"/>
              <w:textAlignment w:val="auto"/>
              <w:rPr>
                <w:rFonts w:hint="eastAsia" w:asciiTheme="minorEastAsia" w:hAnsiTheme="minorEastAsia" w:eastAsiaTheme="minorEastAsia" w:cstheme="minorEastAsia"/>
                <w:sz w:val="24"/>
                <w:szCs w:val="24"/>
                <w:highlight w:val="none"/>
                <w:vertAlign w:val="baseline"/>
                <w:lang w:val="en-US" w:eastAsia="zh-CN"/>
              </w:rPr>
            </w:pPr>
            <w:r>
              <w:rPr>
                <w:rFonts w:hint="eastAsia" w:asciiTheme="minorEastAsia" w:hAnsiTheme="minorEastAsia" w:eastAsiaTheme="minorEastAsia" w:cstheme="minorEastAsia"/>
                <w:sz w:val="24"/>
                <w:szCs w:val="24"/>
                <w:highlight w:val="none"/>
                <w:vertAlign w:val="baseline"/>
                <w:lang w:val="en-US" w:eastAsia="zh-CN"/>
              </w:rPr>
              <w:t>2</w:t>
            </w:r>
          </w:p>
        </w:tc>
        <w:tc>
          <w:tcPr>
            <w:tcW w:w="4273"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center"/>
              <w:textAlignment w:val="auto"/>
              <w:rPr>
                <w:rFonts w:hint="eastAsia" w:asciiTheme="minorEastAsia" w:hAnsiTheme="minorEastAsia" w:eastAsiaTheme="minorEastAsia" w:cstheme="minorEastAsia"/>
                <w:sz w:val="24"/>
                <w:szCs w:val="24"/>
                <w:highlight w:val="none"/>
                <w:vertAlign w:val="baseline"/>
                <w:lang w:val="en-US" w:eastAsia="zh-CN"/>
              </w:rPr>
            </w:pPr>
            <w:r>
              <w:rPr>
                <w:rFonts w:hint="eastAsia" w:asciiTheme="minorEastAsia" w:hAnsiTheme="minorEastAsia" w:cstheme="minorEastAsia"/>
                <w:sz w:val="24"/>
                <w:szCs w:val="24"/>
                <w:highlight w:val="none"/>
                <w:vertAlign w:val="baseline"/>
                <w:lang w:val="en-US" w:eastAsia="zh-CN"/>
              </w:rPr>
              <w:t>肥料</w:t>
            </w:r>
          </w:p>
        </w:tc>
        <w:tc>
          <w:tcPr>
            <w:tcW w:w="2250" w:type="dxa"/>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center"/>
              <w:textAlignment w:val="auto"/>
              <w:rPr>
                <w:rFonts w:hint="default" w:asciiTheme="minorEastAsia" w:hAnsiTheme="minorEastAsia" w:eastAsiaTheme="minorEastAsia" w:cstheme="minorEastAsia"/>
                <w:sz w:val="24"/>
                <w:szCs w:val="24"/>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center"/>
              <w:textAlignment w:val="auto"/>
              <w:rPr>
                <w:rFonts w:hint="eastAsia" w:asciiTheme="minorEastAsia" w:hAnsiTheme="minorEastAsia" w:eastAsiaTheme="minorEastAsia" w:cstheme="minorEastAsia"/>
                <w:sz w:val="24"/>
                <w:szCs w:val="24"/>
                <w:highlight w:val="none"/>
                <w:vertAlign w:val="baseline"/>
                <w:lang w:val="en-US" w:eastAsia="zh-CN"/>
              </w:rPr>
            </w:pPr>
            <w:r>
              <w:rPr>
                <w:rFonts w:hint="eastAsia" w:asciiTheme="minorEastAsia" w:hAnsiTheme="minorEastAsia" w:eastAsiaTheme="minorEastAsia" w:cstheme="minorEastAsia"/>
                <w:sz w:val="24"/>
                <w:szCs w:val="24"/>
                <w:highlight w:val="none"/>
                <w:vertAlign w:val="baseline"/>
                <w:lang w:val="en-US" w:eastAsia="zh-CN"/>
              </w:rPr>
              <w:t>3</w:t>
            </w:r>
          </w:p>
        </w:tc>
        <w:tc>
          <w:tcPr>
            <w:tcW w:w="4273"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center"/>
              <w:textAlignment w:val="auto"/>
              <w:rPr>
                <w:rFonts w:hint="eastAsia" w:asciiTheme="minorEastAsia" w:hAnsiTheme="minorEastAsia" w:eastAsiaTheme="minorEastAsia" w:cstheme="minorEastAsia"/>
                <w:sz w:val="24"/>
                <w:szCs w:val="24"/>
                <w:highlight w:val="none"/>
                <w:vertAlign w:val="baseline"/>
                <w:lang w:val="en-US" w:eastAsia="zh-CN"/>
              </w:rPr>
            </w:pPr>
            <w:r>
              <w:rPr>
                <w:rFonts w:hint="eastAsia" w:asciiTheme="minorEastAsia" w:hAnsiTheme="minorEastAsia" w:cstheme="minorEastAsia"/>
                <w:sz w:val="24"/>
                <w:szCs w:val="24"/>
                <w:highlight w:val="none"/>
                <w:vertAlign w:val="baseline"/>
                <w:lang w:val="en-US" w:eastAsia="zh-CN"/>
              </w:rPr>
              <w:t>饲料</w:t>
            </w:r>
          </w:p>
        </w:tc>
        <w:tc>
          <w:tcPr>
            <w:tcW w:w="2250" w:type="dxa"/>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center"/>
              <w:textAlignment w:val="auto"/>
              <w:rPr>
                <w:rFonts w:hint="default" w:asciiTheme="minorEastAsia" w:hAnsiTheme="minorEastAsia" w:eastAsiaTheme="minorEastAsia" w:cstheme="minorEastAsia"/>
                <w:sz w:val="24"/>
                <w:szCs w:val="24"/>
                <w:highlight w:val="none"/>
                <w:vertAlign w:val="baseline"/>
                <w:lang w:val="en-US" w:eastAsia="zh-CN"/>
              </w:rPr>
            </w:pPr>
          </w:p>
        </w:tc>
      </w:tr>
    </w:tbl>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sz w:val="32"/>
          <w:szCs w:val="32"/>
          <w:highlight w:val="none"/>
          <w:lang w:val="en-US" w:eastAsia="zh-CN"/>
        </w:rPr>
        <w:t>对2023年农资产品质量监管工作中监督抽查和执法抽杨的农药、饲料、肥料等农资产品样品的有效成分含量、隐形成分</w:t>
      </w:r>
      <w:r>
        <w:rPr>
          <w:rFonts w:hint="eastAsia" w:ascii="仿宋_GB2312" w:hAnsi="仿宋_GB2312" w:eastAsia="仿宋_GB2312" w:cs="仿宋_GB2312"/>
          <w:color w:val="auto"/>
          <w:sz w:val="32"/>
          <w:szCs w:val="32"/>
          <w:highlight w:val="none"/>
          <w:lang w:val="en-US" w:eastAsia="zh-CN"/>
        </w:rPr>
        <w:t>含量等进行检测。</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color w:val="FF0000"/>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1.需检测的农资产品样品详情：</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both"/>
        <w:textAlignment w:val="auto"/>
        <w:rPr>
          <w:rFonts w:hint="default" w:ascii="仿宋_GB2312" w:hAnsi="仿宋_GB2312" w:eastAsia="仿宋_GB2312" w:cs="仿宋_GB2312"/>
          <w:color w:val="FF0000"/>
          <w:sz w:val="32"/>
          <w:szCs w:val="32"/>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both"/>
        <w:textAlignment w:val="auto"/>
        <w:rPr>
          <w:rFonts w:hint="default" w:ascii="仿宋_GB2312" w:hAnsi="仿宋_GB2312" w:eastAsia="仿宋_GB2312" w:cs="仿宋_GB2312"/>
          <w:color w:val="FF0000"/>
          <w:sz w:val="32"/>
          <w:szCs w:val="32"/>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both"/>
        <w:textAlignment w:val="auto"/>
        <w:rPr>
          <w:rFonts w:hint="default" w:ascii="仿宋_GB2312" w:hAnsi="仿宋_GB2312" w:eastAsia="仿宋_GB2312" w:cs="仿宋_GB2312"/>
          <w:color w:val="FF0000"/>
          <w:sz w:val="32"/>
          <w:szCs w:val="32"/>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jc w:val="both"/>
        <w:textAlignment w:val="auto"/>
        <w:rPr>
          <w:rFonts w:hint="eastAsia" w:ascii="仿宋_GB2312" w:hAnsi="仿宋_GB2312" w:eastAsia="仿宋_GB2312" w:cs="仿宋_GB2312"/>
          <w:sz w:val="32"/>
          <w:szCs w:val="32"/>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left"/>
        <w:textAlignment w:val="auto"/>
        <w:rPr>
          <w:rFonts w:hint="eastAsia" w:ascii="仿宋_GB2312" w:hAnsi="仿宋_GB2312" w:eastAsia="仿宋_GB2312" w:cs="仿宋_GB2312"/>
          <w:sz w:val="32"/>
          <w:szCs w:val="32"/>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left"/>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注：如上所列需检测的农资产品样品批次仅为初计，最终以监督抽查和执法抽检实际为准。</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both"/>
        <w:textAlignment w:val="auto"/>
        <w:rPr>
          <w:rFonts w:hint="eastAsia" w:ascii="仿宋_GB2312" w:hAnsi="仿宋_GB2312" w:eastAsia="仿宋_GB2312" w:cs="仿宋_GB2312"/>
          <w:sz w:val="32"/>
          <w:szCs w:val="32"/>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both"/>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2.样品检测项目：</w:t>
      </w:r>
    </w:p>
    <w:tbl>
      <w:tblPr>
        <w:tblStyle w:val="4"/>
        <w:tblpPr w:leftFromText="180" w:rightFromText="180" w:vertAnchor="text" w:horzAnchor="page" w:tblpX="2051" w:tblpY="399"/>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8"/>
        <w:gridCol w:w="1678"/>
        <w:gridCol w:w="3914"/>
        <w:gridCol w:w="19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center"/>
              <w:textAlignment w:val="auto"/>
              <w:rPr>
                <w:rFonts w:hint="eastAsia" w:ascii="黑体" w:hAnsi="黑体" w:eastAsia="黑体" w:cs="黑体"/>
                <w:sz w:val="24"/>
                <w:szCs w:val="24"/>
                <w:highlight w:val="none"/>
                <w:vertAlign w:val="baseline"/>
                <w:lang w:val="en-US" w:eastAsia="zh-CN"/>
              </w:rPr>
            </w:pPr>
            <w:r>
              <w:rPr>
                <w:rFonts w:hint="eastAsia" w:ascii="黑体" w:hAnsi="黑体" w:eastAsia="黑体" w:cs="黑体"/>
                <w:sz w:val="24"/>
                <w:szCs w:val="24"/>
                <w:highlight w:val="none"/>
                <w:vertAlign w:val="baseline"/>
                <w:lang w:val="en-US" w:eastAsia="zh-CN"/>
              </w:rPr>
              <w:t>序号</w:t>
            </w:r>
          </w:p>
        </w:tc>
        <w:tc>
          <w:tcPr>
            <w:tcW w:w="7582" w:type="dxa"/>
            <w:gridSpan w:val="3"/>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center"/>
              <w:textAlignment w:val="auto"/>
              <w:rPr>
                <w:rFonts w:hint="eastAsia" w:ascii="黑体" w:hAnsi="黑体" w:eastAsia="黑体" w:cs="黑体"/>
                <w:sz w:val="24"/>
                <w:szCs w:val="24"/>
                <w:highlight w:val="none"/>
                <w:vertAlign w:val="baseline"/>
                <w:lang w:val="en-US" w:eastAsia="zh-CN"/>
              </w:rPr>
            </w:pPr>
            <w:r>
              <w:rPr>
                <w:rFonts w:hint="eastAsia" w:ascii="黑体" w:hAnsi="黑体" w:eastAsia="黑体" w:cs="黑体"/>
                <w:sz w:val="24"/>
                <w:szCs w:val="24"/>
                <w:highlight w:val="none"/>
                <w:vertAlign w:val="baseline"/>
                <w:lang w:val="en-US" w:eastAsia="zh-CN"/>
              </w:rPr>
              <w:t>检测项目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75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center"/>
              <w:textAlignment w:val="auto"/>
              <w:rPr>
                <w:rFonts w:hint="eastAsia" w:asciiTheme="minorEastAsia" w:hAnsiTheme="minorEastAsia" w:eastAsiaTheme="minorEastAsia" w:cstheme="minorEastAsia"/>
                <w:sz w:val="24"/>
                <w:szCs w:val="24"/>
                <w:highlight w:val="none"/>
                <w:vertAlign w:val="baseline"/>
                <w:lang w:val="en-US" w:eastAsia="zh-CN"/>
              </w:rPr>
            </w:pPr>
            <w:r>
              <w:rPr>
                <w:rFonts w:hint="eastAsia" w:asciiTheme="minorEastAsia" w:hAnsiTheme="minorEastAsia" w:cstheme="minorEastAsia"/>
                <w:sz w:val="24"/>
                <w:szCs w:val="24"/>
                <w:highlight w:val="none"/>
                <w:vertAlign w:val="baseline"/>
                <w:lang w:val="en-US" w:eastAsia="zh-CN"/>
              </w:rPr>
              <w:t>1</w:t>
            </w:r>
          </w:p>
        </w:tc>
        <w:tc>
          <w:tcPr>
            <w:tcW w:w="167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center"/>
              <w:textAlignment w:val="auto"/>
              <w:rPr>
                <w:rFonts w:hint="eastAsia" w:asciiTheme="minorEastAsia" w:hAnsiTheme="minorEastAsia" w:eastAsiaTheme="minorEastAsia" w:cstheme="minorEastAsia"/>
                <w:sz w:val="24"/>
                <w:szCs w:val="24"/>
                <w:highlight w:val="none"/>
                <w:vertAlign w:val="baseline"/>
                <w:lang w:val="en-US" w:eastAsia="zh-CN"/>
              </w:rPr>
            </w:pPr>
            <w:r>
              <w:rPr>
                <w:rFonts w:hint="eastAsia" w:asciiTheme="minorEastAsia" w:hAnsiTheme="minorEastAsia" w:cstheme="minorEastAsia"/>
                <w:sz w:val="24"/>
                <w:szCs w:val="24"/>
                <w:highlight w:val="none"/>
                <w:vertAlign w:val="baseline"/>
                <w:lang w:val="en-US" w:eastAsia="zh-CN"/>
              </w:rPr>
              <w:t>有效成分含量</w:t>
            </w:r>
          </w:p>
        </w:tc>
        <w:tc>
          <w:tcPr>
            <w:tcW w:w="5904" w:type="dxa"/>
            <w:gridSpan w:val="2"/>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center"/>
              <w:textAlignment w:val="auto"/>
              <w:rPr>
                <w:rFonts w:hint="default" w:asciiTheme="minorEastAsia" w:hAnsiTheme="minorEastAsia" w:eastAsiaTheme="minorEastAsia" w:cstheme="minorEastAsia"/>
                <w:sz w:val="24"/>
                <w:szCs w:val="24"/>
                <w:highlight w:val="none"/>
                <w:vertAlign w:val="baseline"/>
                <w:lang w:val="en-US" w:eastAsia="zh-CN"/>
              </w:rPr>
            </w:pPr>
            <w:r>
              <w:rPr>
                <w:rFonts w:hint="eastAsia" w:asciiTheme="minorEastAsia" w:hAnsiTheme="minorEastAsia" w:cstheme="minorEastAsia"/>
                <w:sz w:val="24"/>
                <w:szCs w:val="24"/>
                <w:highlight w:val="none"/>
                <w:vertAlign w:val="baseline"/>
                <w:lang w:val="en-US" w:eastAsia="zh-CN"/>
              </w:rPr>
              <w:t>产品标签标示的有效成分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trPr>
        <w:tc>
          <w:tcPr>
            <w:tcW w:w="758" w:type="dxa"/>
            <w:vMerge w:val="restart"/>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center"/>
              <w:textAlignment w:val="auto"/>
              <w:rPr>
                <w:rFonts w:hint="eastAsia" w:asciiTheme="minorEastAsia" w:hAnsiTheme="minorEastAsia" w:eastAsiaTheme="minorEastAsia" w:cstheme="minorEastAsia"/>
                <w:sz w:val="24"/>
                <w:szCs w:val="24"/>
                <w:highlight w:val="none"/>
                <w:vertAlign w:val="baseline"/>
                <w:lang w:val="en-US" w:eastAsia="zh-CN"/>
              </w:rPr>
            </w:pPr>
            <w:r>
              <w:rPr>
                <w:rFonts w:hint="eastAsia" w:asciiTheme="minorEastAsia" w:hAnsiTheme="minorEastAsia" w:cstheme="minorEastAsia"/>
                <w:sz w:val="24"/>
                <w:szCs w:val="24"/>
                <w:highlight w:val="none"/>
                <w:vertAlign w:val="baseline"/>
                <w:lang w:val="en-US" w:eastAsia="zh-CN"/>
              </w:rPr>
              <w:t>2</w:t>
            </w:r>
          </w:p>
        </w:tc>
        <w:tc>
          <w:tcPr>
            <w:tcW w:w="1678" w:type="dxa"/>
            <w:vMerge w:val="restart"/>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center"/>
              <w:textAlignment w:val="auto"/>
              <w:rPr>
                <w:rFonts w:hint="eastAsia" w:asciiTheme="minorEastAsia" w:hAnsiTheme="minorEastAsia" w:eastAsiaTheme="minorEastAsia" w:cstheme="minorEastAsia"/>
                <w:sz w:val="24"/>
                <w:szCs w:val="24"/>
                <w:highlight w:val="none"/>
                <w:vertAlign w:val="baseline"/>
                <w:lang w:val="en-US" w:eastAsia="zh-CN"/>
              </w:rPr>
            </w:pPr>
            <w:r>
              <w:rPr>
                <w:rFonts w:hint="eastAsia" w:asciiTheme="minorEastAsia" w:hAnsiTheme="minorEastAsia" w:cstheme="minorEastAsia"/>
                <w:sz w:val="24"/>
                <w:szCs w:val="24"/>
                <w:highlight w:val="none"/>
                <w:vertAlign w:val="baseline"/>
                <w:lang w:val="en-US" w:eastAsia="zh-CN"/>
              </w:rPr>
              <w:t>隐性成分含量</w:t>
            </w:r>
          </w:p>
        </w:tc>
        <w:tc>
          <w:tcPr>
            <w:tcW w:w="3914"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center"/>
              <w:textAlignment w:val="auto"/>
              <w:rPr>
                <w:rFonts w:hint="eastAsia" w:asciiTheme="minorEastAsia" w:hAnsiTheme="minorEastAsia" w:eastAsiaTheme="minorEastAsia" w:cstheme="minorEastAsia"/>
                <w:sz w:val="24"/>
                <w:szCs w:val="24"/>
                <w:highlight w:val="none"/>
                <w:vertAlign w:val="baseline"/>
                <w:lang w:val="en-US" w:eastAsia="zh-CN"/>
              </w:rPr>
            </w:pPr>
            <w:r>
              <w:rPr>
                <w:rFonts w:hint="eastAsia" w:ascii="黑体" w:hAnsi="黑体" w:eastAsia="黑体" w:cs="黑体"/>
                <w:sz w:val="24"/>
                <w:szCs w:val="24"/>
                <w:highlight w:val="none"/>
                <w:vertAlign w:val="baseline"/>
                <w:lang w:val="en-US" w:eastAsia="zh-CN"/>
              </w:rPr>
              <w:t>待选检测项目</w:t>
            </w:r>
          </w:p>
        </w:tc>
        <w:tc>
          <w:tcPr>
            <w:tcW w:w="199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center"/>
              <w:textAlignment w:val="auto"/>
              <w:rPr>
                <w:rFonts w:hint="default" w:asciiTheme="minorEastAsia" w:hAnsiTheme="minorEastAsia" w:eastAsiaTheme="minorEastAsia" w:cstheme="minorEastAsia"/>
                <w:sz w:val="24"/>
                <w:szCs w:val="24"/>
                <w:highlight w:val="none"/>
                <w:vertAlign w:val="baseline"/>
                <w:lang w:val="en-US" w:eastAsia="zh-CN"/>
              </w:rPr>
            </w:pPr>
            <w:r>
              <w:rPr>
                <w:rFonts w:hint="eastAsia" w:ascii="黑体" w:hAnsi="黑体" w:eastAsia="黑体" w:cs="黑体"/>
                <w:sz w:val="24"/>
                <w:szCs w:val="24"/>
                <w:highlight w:val="none"/>
                <w:vertAlign w:val="baseline"/>
                <w:lang w:val="en-US" w:eastAsia="zh-CN"/>
              </w:rPr>
              <w:t>预计检测项目数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0" w:hRule="atLeast"/>
        </w:trPr>
        <w:tc>
          <w:tcPr>
            <w:tcW w:w="758" w:type="dxa"/>
            <w:vMerge w:val="continue"/>
            <w:vAlign w:val="center"/>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pPr>
          </w:p>
        </w:tc>
        <w:tc>
          <w:tcPr>
            <w:tcW w:w="1678" w:type="dxa"/>
            <w:vMerge w:val="continue"/>
            <w:vAlign w:val="center"/>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pPr>
          </w:p>
        </w:tc>
        <w:tc>
          <w:tcPr>
            <w:tcW w:w="3914" w:type="dxa"/>
            <w:vAlign w:val="center"/>
          </w:tcPr>
          <w:p>
            <w:pPr>
              <w:keepNext w:val="0"/>
              <w:keepLines w:val="0"/>
              <w:pageBreakBefore w:val="0"/>
              <w:widowControl w:val="0"/>
              <w:kinsoku/>
              <w:wordWrap/>
              <w:overflowPunct/>
              <w:topLinePunct w:val="0"/>
              <w:autoSpaceDE/>
              <w:autoSpaceDN/>
              <w:bidi w:val="0"/>
              <w:adjustRightInd/>
              <w:snapToGrid/>
              <w:spacing w:line="600" w:lineRule="exact"/>
              <w:jc w:val="left"/>
              <w:textAlignment w:val="auto"/>
            </w:pPr>
            <w:r>
              <w:rPr>
                <w:rFonts w:hint="eastAsia" w:asciiTheme="minorEastAsia" w:hAnsiTheme="minorEastAsia" w:cstheme="minorEastAsia"/>
                <w:sz w:val="24"/>
                <w:szCs w:val="24"/>
                <w:highlight w:val="none"/>
                <w:vertAlign w:val="baseline"/>
                <w:lang w:val="en-US" w:eastAsia="zh-CN"/>
              </w:rPr>
              <w:t>高效氟氯氰菊酯、联苯菊酯、腐霉利、苯醚甲环唑、三唑酮、百菌清、咪鲜胺、阿维菌素、啶虫脒、多菌灵、嘧霉胺、吡虫啉、哒螨灵、戊唑醇、咪鲜胺、丙环唑、乙草胺、克百威、灭多威、甲拌磷、水胺硫磷、溴虫腈；</w:t>
            </w:r>
          </w:p>
        </w:tc>
        <w:tc>
          <w:tcPr>
            <w:tcW w:w="199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center"/>
              <w:textAlignment w:val="auto"/>
              <w:rPr>
                <w:rFonts w:hint="eastAsia" w:asciiTheme="minorEastAsia" w:hAnsiTheme="minorEastAsia" w:cstheme="minorEastAsia"/>
                <w:sz w:val="24"/>
                <w:szCs w:val="24"/>
                <w:highlight w:val="none"/>
                <w:vertAlign w:val="baseline"/>
                <w:lang w:val="en-US" w:eastAsia="zh-CN"/>
              </w:rPr>
            </w:pPr>
            <w:r>
              <w:rPr>
                <w:rFonts w:hint="eastAsia" w:asciiTheme="minorEastAsia" w:hAnsiTheme="minorEastAsia" w:cstheme="minorEastAsia"/>
                <w:sz w:val="24"/>
                <w:szCs w:val="24"/>
                <w:highlight w:val="none"/>
                <w:vertAlign w:val="baseline"/>
                <w:lang w:val="en-US" w:eastAsia="zh-CN"/>
              </w:rPr>
              <w:t>5-10</w:t>
            </w:r>
          </w:p>
        </w:tc>
      </w:tr>
    </w:tbl>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jc w:val="both"/>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每批次样品，除检测有效成分含量外，另根据实际情况，从隐性成分含量待选检测项目中择取5-10项进行检测。隐性成分含量检测将结合具体监督检查和执法抽检需求进行少量增减，所增加的检测项目不限于上述所列。</w:t>
      </w:r>
    </w:p>
    <w:p>
      <w:pPr>
        <w:keepNext w:val="0"/>
        <w:keepLines w:val="0"/>
        <w:pageBreakBefore w:val="0"/>
        <w:widowControl w:val="0"/>
        <w:kinsoku/>
        <w:wordWrap/>
        <w:overflowPunct/>
        <w:topLinePunct w:val="0"/>
        <w:autoSpaceDE/>
        <w:autoSpaceDN/>
        <w:bidi w:val="0"/>
        <w:adjustRightInd/>
        <w:snapToGrid/>
        <w:spacing w:line="600" w:lineRule="exact"/>
        <w:ind w:firstLine="640"/>
        <w:jc w:val="both"/>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3.服务期间：2023年1月-2023年12月</w:t>
      </w:r>
    </w:p>
    <w:p>
      <w:pPr>
        <w:keepNext w:val="0"/>
        <w:keepLines w:val="0"/>
        <w:pageBreakBefore w:val="0"/>
        <w:widowControl w:val="0"/>
        <w:kinsoku/>
        <w:wordWrap/>
        <w:overflowPunct/>
        <w:topLinePunct w:val="0"/>
        <w:autoSpaceDE/>
        <w:autoSpaceDN/>
        <w:bidi w:val="0"/>
        <w:adjustRightInd/>
        <w:snapToGrid/>
        <w:spacing w:line="600" w:lineRule="exact"/>
        <w:ind w:firstLine="640"/>
        <w:jc w:val="both"/>
        <w:textAlignment w:val="auto"/>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4.服务要求：</w:t>
      </w:r>
      <w:r>
        <w:rPr>
          <w:rFonts w:hint="eastAsia" w:ascii="仿宋_GB2312" w:hAnsi="仿宋_GB2312" w:eastAsia="仿宋_GB2312" w:cs="仿宋_GB2312"/>
          <w:color w:val="auto"/>
          <w:sz w:val="32"/>
          <w:szCs w:val="32"/>
          <w:highlight w:val="none"/>
          <w:lang w:val="en-US" w:eastAsia="zh-CN"/>
        </w:rPr>
        <w:t>充分配合监督检查和执法抽检工作需求，针对每批次待检测样品，及时接收、高效检测并严格按时限出具2份检测报告。积极配合突发情况时，对样品的检测项目、检测时限等要求的临时调整。</w:t>
      </w:r>
    </w:p>
    <w:p>
      <w:pPr>
        <w:keepNext w:val="0"/>
        <w:keepLines w:val="0"/>
        <w:pageBreakBefore w:val="0"/>
        <w:widowControl w:val="0"/>
        <w:kinsoku/>
        <w:wordWrap/>
        <w:overflowPunct/>
        <w:topLinePunct w:val="0"/>
        <w:autoSpaceDE/>
        <w:autoSpaceDN/>
        <w:bidi w:val="0"/>
        <w:adjustRightInd/>
        <w:snapToGrid/>
        <w:spacing w:line="600" w:lineRule="exact"/>
        <w:ind w:firstLine="640"/>
        <w:jc w:val="both"/>
        <w:textAlignment w:val="auto"/>
        <w:rPr>
          <w:rFonts w:hint="eastAsia" w:ascii="黑体" w:hAnsi="黑体" w:eastAsia="黑体" w:cs="黑体"/>
          <w:color w:val="auto"/>
          <w:sz w:val="32"/>
          <w:szCs w:val="32"/>
          <w:highlight w:val="none"/>
          <w:lang w:val="en-US" w:eastAsia="zh-CN"/>
        </w:rPr>
      </w:pPr>
      <w:r>
        <w:rPr>
          <w:rFonts w:hint="eastAsia" w:ascii="黑体" w:hAnsi="黑体" w:eastAsia="黑体" w:cs="黑体"/>
          <w:color w:val="auto"/>
          <w:sz w:val="32"/>
          <w:szCs w:val="32"/>
          <w:highlight w:val="none"/>
          <w:lang w:val="en-US" w:eastAsia="zh-CN"/>
        </w:rPr>
        <w:t>二、资质要求</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在中华人民共和国境内注册，能够独立承担民事责任能力的法人企业；</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具有良好的商业信誉和健全的财务会计制度；</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具有履行合同所必需的设备和专业技术力量；</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有依法缴纳税收的良好记录；</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在经营活动中没有重大违法记录；</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有依法缴纳税收和社会保障基金的良好记录</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黑体" w:hAnsi="黑体" w:eastAsia="黑体" w:cs="黑体"/>
          <w:color w:val="auto"/>
          <w:sz w:val="32"/>
          <w:szCs w:val="32"/>
          <w:highlight w:val="none"/>
          <w:lang w:val="en-US" w:eastAsia="zh-CN"/>
        </w:rPr>
      </w:pPr>
      <w:r>
        <w:rPr>
          <w:rFonts w:hint="eastAsia" w:ascii="黑体" w:hAnsi="黑体" w:eastAsia="黑体" w:cs="黑体"/>
          <w:color w:val="auto"/>
          <w:sz w:val="32"/>
          <w:szCs w:val="32"/>
          <w:highlight w:val="none"/>
          <w:lang w:val="en-US" w:eastAsia="zh-CN"/>
        </w:rPr>
        <w:t>三、报名时需提供的材料</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w:t>
      </w:r>
      <w:r>
        <w:rPr>
          <w:rFonts w:hint="eastAsia" w:ascii="仿宋_GB2312" w:hAnsi="仿宋_GB2312" w:eastAsia="仿宋_GB2312" w:cs="仿宋_GB2312"/>
          <w:sz w:val="32"/>
          <w:szCs w:val="32"/>
        </w:rPr>
        <w:t>营业</w:t>
      </w:r>
      <w:r>
        <w:rPr>
          <w:rFonts w:hint="eastAsia" w:ascii="仿宋_GB2312" w:hAnsi="仿宋_GB2312" w:eastAsia="仿宋_GB2312" w:cs="仿宋_GB2312"/>
          <w:sz w:val="32"/>
          <w:szCs w:val="32"/>
          <w:lang w:eastAsia="zh-CN"/>
        </w:rPr>
        <w:t>执照</w:t>
      </w:r>
      <w:r>
        <w:rPr>
          <w:rFonts w:hint="eastAsia" w:ascii="仿宋_GB2312" w:hAnsi="仿宋_GB2312" w:eastAsia="仿宋_GB2312" w:cs="仿宋_GB2312"/>
          <w:sz w:val="32"/>
          <w:szCs w:val="32"/>
        </w:rPr>
        <w:t>复印件（复印件加盖公章）</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法人身份证复印件（加盖公章）</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3.检验检测机构资质认定证书复印件（加盖公章）；</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4.近两年内所承担过的类似检测服务项目情况说明；</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5.合同样本；</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6.其他材料。</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四、报名时间</w:t>
      </w:r>
      <w:bookmarkStart w:id="0" w:name="_GoBack"/>
      <w:bookmarkEnd w:id="0"/>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2023年2月23日-2023年3月7日</w:t>
      </w:r>
    </w:p>
    <w:p>
      <w:pPr>
        <w:ind w:firstLine="640" w:firstLineChars="200"/>
        <w:rPr>
          <w:rFonts w:ascii="黑体" w:hAnsi="黑体" w:eastAsia="黑体" w:cs="黑体"/>
          <w:sz w:val="32"/>
          <w:szCs w:val="32"/>
        </w:rPr>
      </w:pPr>
      <w:r>
        <w:rPr>
          <w:rFonts w:hint="eastAsia" w:ascii="黑体" w:hAnsi="黑体" w:eastAsia="黑体" w:cs="黑体"/>
          <w:sz w:val="32"/>
          <w:szCs w:val="32"/>
          <w:lang w:eastAsia="zh-CN"/>
        </w:rPr>
        <w:t>五、</w:t>
      </w:r>
      <w:r>
        <w:rPr>
          <w:rFonts w:hint="eastAsia" w:ascii="黑体" w:hAnsi="黑体" w:eastAsia="黑体" w:cs="黑体"/>
          <w:sz w:val="32"/>
          <w:szCs w:val="32"/>
        </w:rPr>
        <w:t>报价评审</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color w:val="FF0000"/>
          <w:sz w:val="32"/>
          <w:szCs w:val="32"/>
          <w:lang w:val="en-US" w:eastAsia="zh-CN"/>
        </w:rPr>
      </w:pPr>
      <w:r>
        <w:rPr>
          <w:rFonts w:ascii="Times New Roman" w:hAnsi="Times New Roman" w:eastAsia="仿宋_GB2312" w:cs="Times New Roman"/>
          <w:sz w:val="32"/>
          <w:szCs w:val="32"/>
          <w:highlight w:val="none"/>
        </w:rPr>
        <w:t>我</w:t>
      </w:r>
      <w:r>
        <w:rPr>
          <w:rFonts w:hint="eastAsia" w:ascii="Times New Roman" w:hAnsi="Times New Roman" w:eastAsia="仿宋_GB2312" w:cs="Times New Roman"/>
          <w:sz w:val="32"/>
          <w:szCs w:val="32"/>
          <w:highlight w:val="none"/>
        </w:rPr>
        <w:t>局</w:t>
      </w:r>
      <w:r>
        <w:rPr>
          <w:rFonts w:ascii="Times New Roman" w:hAnsi="Times New Roman" w:eastAsia="仿宋_GB2312" w:cs="Times New Roman"/>
          <w:sz w:val="32"/>
          <w:szCs w:val="32"/>
          <w:highlight w:val="none"/>
        </w:rPr>
        <w:t>将</w:t>
      </w:r>
      <w:r>
        <w:rPr>
          <w:rFonts w:hint="eastAsia" w:ascii="Times New Roman" w:hAnsi="Times New Roman" w:eastAsia="仿宋_GB2312" w:cs="Times New Roman"/>
          <w:sz w:val="32"/>
          <w:szCs w:val="32"/>
          <w:highlight w:val="none"/>
        </w:rPr>
        <w:t>结合</w:t>
      </w:r>
      <w:r>
        <w:rPr>
          <w:rFonts w:ascii="Times New Roman" w:hAnsi="Times New Roman" w:eastAsia="仿宋_GB2312" w:cs="Times New Roman"/>
          <w:sz w:val="32"/>
          <w:szCs w:val="32"/>
          <w:highlight w:val="none"/>
        </w:rPr>
        <w:t>申报单位的资质、专业能力、</w:t>
      </w:r>
      <w:r>
        <w:rPr>
          <w:rFonts w:hint="eastAsia" w:ascii="Times New Roman" w:hAnsi="Times New Roman" w:eastAsia="仿宋_GB2312" w:cs="Times New Roman"/>
          <w:sz w:val="32"/>
          <w:szCs w:val="32"/>
          <w:highlight w:val="none"/>
        </w:rPr>
        <w:t>服务</w:t>
      </w:r>
      <w:r>
        <w:rPr>
          <w:rFonts w:ascii="Times New Roman" w:hAnsi="Times New Roman" w:eastAsia="仿宋_GB2312" w:cs="Times New Roman"/>
          <w:sz w:val="32"/>
          <w:szCs w:val="32"/>
          <w:highlight w:val="none"/>
        </w:rPr>
        <w:t>承诺，以及</w:t>
      </w:r>
      <w:r>
        <w:rPr>
          <w:rFonts w:hint="eastAsia" w:ascii="Times New Roman" w:hAnsi="Times New Roman" w:eastAsia="仿宋_GB2312" w:cs="Times New Roman"/>
          <w:sz w:val="32"/>
          <w:szCs w:val="32"/>
          <w:highlight w:val="none"/>
        </w:rPr>
        <w:t>本</w:t>
      </w:r>
      <w:r>
        <w:rPr>
          <w:rFonts w:ascii="Times New Roman" w:hAnsi="Times New Roman" w:eastAsia="仿宋_GB2312" w:cs="Times New Roman"/>
          <w:sz w:val="32"/>
          <w:szCs w:val="32"/>
          <w:highlight w:val="none"/>
        </w:rPr>
        <w:t>方案的</w:t>
      </w:r>
      <w:r>
        <w:rPr>
          <w:rFonts w:hint="eastAsia" w:ascii="Times New Roman" w:hAnsi="Times New Roman" w:eastAsia="仿宋_GB2312" w:cs="Times New Roman"/>
          <w:sz w:val="32"/>
          <w:szCs w:val="32"/>
          <w:highlight w:val="none"/>
        </w:rPr>
        <w:t>适用性</w:t>
      </w:r>
      <w:r>
        <w:rPr>
          <w:rFonts w:ascii="Times New Roman" w:hAnsi="Times New Roman" w:eastAsia="仿宋_GB2312" w:cs="Times New Roman"/>
          <w:sz w:val="32"/>
          <w:szCs w:val="32"/>
          <w:highlight w:val="none"/>
        </w:rPr>
        <w:t>和效用性</w:t>
      </w:r>
      <w:r>
        <w:rPr>
          <w:rFonts w:hint="eastAsia" w:ascii="Times New Roman" w:hAnsi="Times New Roman" w:eastAsia="仿宋_GB2312" w:cs="Times New Roman"/>
          <w:sz w:val="32"/>
          <w:szCs w:val="32"/>
          <w:highlight w:val="none"/>
          <w:lang w:eastAsia="zh-CN"/>
        </w:rPr>
        <w:t>，</w:t>
      </w:r>
      <w:r>
        <w:rPr>
          <w:rFonts w:ascii="Times New Roman" w:hAnsi="Times New Roman" w:eastAsia="仿宋_GB2312" w:cs="Times New Roman"/>
          <w:sz w:val="32"/>
          <w:szCs w:val="32"/>
          <w:highlight w:val="none"/>
        </w:rPr>
        <w:t>对</w:t>
      </w:r>
      <w:r>
        <w:rPr>
          <w:rFonts w:hint="eastAsia" w:ascii="Times New Roman" w:hAnsi="Times New Roman" w:eastAsia="仿宋_GB2312" w:cs="Times New Roman"/>
          <w:sz w:val="32"/>
          <w:szCs w:val="32"/>
          <w:highlight w:val="none"/>
        </w:rPr>
        <w:t>服务商</w:t>
      </w:r>
      <w:r>
        <w:rPr>
          <w:rFonts w:ascii="Times New Roman" w:hAnsi="Times New Roman" w:eastAsia="仿宋_GB2312" w:cs="Times New Roman"/>
          <w:sz w:val="32"/>
          <w:szCs w:val="32"/>
          <w:highlight w:val="none"/>
        </w:rPr>
        <w:t>的报价情况</w:t>
      </w:r>
      <w:r>
        <w:rPr>
          <w:rFonts w:hint="eastAsia" w:ascii="Times New Roman" w:hAnsi="Times New Roman" w:eastAsia="仿宋_GB2312" w:cs="Times New Roman"/>
          <w:sz w:val="32"/>
          <w:szCs w:val="32"/>
          <w:highlight w:val="none"/>
        </w:rPr>
        <w:t>进行</w:t>
      </w:r>
      <w:r>
        <w:rPr>
          <w:rFonts w:ascii="Times New Roman" w:hAnsi="Times New Roman" w:eastAsia="仿宋_GB2312" w:cs="Times New Roman"/>
          <w:sz w:val="32"/>
          <w:szCs w:val="32"/>
          <w:highlight w:val="none"/>
        </w:rPr>
        <w:t>综合评定，</w:t>
      </w:r>
      <w:r>
        <w:rPr>
          <w:rFonts w:hint="eastAsia" w:ascii="Times New Roman" w:hAnsi="Times New Roman" w:eastAsia="仿宋_GB2312" w:cs="Times New Roman"/>
          <w:sz w:val="32"/>
          <w:szCs w:val="32"/>
          <w:highlight w:val="none"/>
        </w:rPr>
        <w:t>确定</w:t>
      </w:r>
      <w:r>
        <w:rPr>
          <w:rFonts w:ascii="Times New Roman" w:hAnsi="Times New Roman" w:eastAsia="仿宋_GB2312" w:cs="Times New Roman"/>
          <w:sz w:val="32"/>
          <w:szCs w:val="32"/>
          <w:highlight w:val="none"/>
        </w:rPr>
        <w:t>有效</w:t>
      </w:r>
      <w:r>
        <w:rPr>
          <w:rFonts w:hint="eastAsia" w:ascii="Times New Roman" w:hAnsi="Times New Roman" w:eastAsia="仿宋_GB2312" w:cs="Times New Roman"/>
          <w:sz w:val="32"/>
          <w:szCs w:val="32"/>
          <w:highlight w:val="none"/>
        </w:rPr>
        <w:t>服务</w:t>
      </w:r>
      <w:r>
        <w:rPr>
          <w:rFonts w:ascii="Times New Roman" w:hAnsi="Times New Roman" w:eastAsia="仿宋_GB2312" w:cs="Times New Roman"/>
          <w:sz w:val="32"/>
          <w:szCs w:val="32"/>
          <w:highlight w:val="none"/>
        </w:rPr>
        <w:t>单位，原则上以接近报价</w:t>
      </w:r>
      <w:r>
        <w:rPr>
          <w:rFonts w:hint="eastAsia" w:ascii="Times New Roman" w:hAnsi="Times New Roman" w:eastAsia="仿宋_GB2312" w:cs="Times New Roman"/>
          <w:sz w:val="32"/>
          <w:szCs w:val="32"/>
          <w:highlight w:val="none"/>
          <w:lang w:eastAsia="zh-CN"/>
        </w:rPr>
        <w:t>中间值</w:t>
      </w:r>
      <w:r>
        <w:rPr>
          <w:rFonts w:ascii="Times New Roman" w:hAnsi="Times New Roman" w:eastAsia="仿宋_GB2312" w:cs="Times New Roman"/>
          <w:sz w:val="32"/>
          <w:szCs w:val="32"/>
          <w:highlight w:val="none"/>
        </w:rPr>
        <w:t>的单位为意向单位。</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六、联系方式</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rPr>
      </w:pPr>
      <w:r>
        <w:rPr>
          <w:rFonts w:ascii="Times New Roman" w:hAnsi="Times New Roman" w:eastAsia="仿宋_GB2312" w:cs="Times New Roman"/>
          <w:sz w:val="32"/>
          <w:szCs w:val="32"/>
        </w:rPr>
        <w:t>各</w:t>
      </w:r>
      <w:r>
        <w:rPr>
          <w:rFonts w:hint="eastAsia" w:ascii="Times New Roman" w:hAnsi="Times New Roman" w:eastAsia="仿宋_GB2312" w:cs="Times New Roman"/>
          <w:sz w:val="32"/>
          <w:szCs w:val="32"/>
        </w:rPr>
        <w:t>服务商</w:t>
      </w:r>
      <w:r>
        <w:rPr>
          <w:rFonts w:ascii="Times New Roman" w:hAnsi="Times New Roman" w:eastAsia="仿宋_GB2312" w:cs="Times New Roman"/>
          <w:sz w:val="32"/>
          <w:szCs w:val="32"/>
        </w:rPr>
        <w:t>须</w:t>
      </w:r>
      <w:r>
        <w:rPr>
          <w:rFonts w:ascii="Times New Roman" w:hAnsi="Times New Roman" w:eastAsia="仿宋_GB2312" w:cs="Times New Roman"/>
          <w:color w:val="auto"/>
          <w:sz w:val="32"/>
          <w:szCs w:val="32"/>
        </w:rPr>
        <w:t>在20</w:t>
      </w:r>
      <w:r>
        <w:rPr>
          <w:rFonts w:hint="eastAsia" w:ascii="Times New Roman" w:hAnsi="Times New Roman" w:eastAsia="仿宋_GB2312" w:cs="Times New Roman"/>
          <w:color w:val="auto"/>
          <w:sz w:val="32"/>
          <w:szCs w:val="32"/>
          <w:lang w:val="en-US" w:eastAsia="zh-CN"/>
        </w:rPr>
        <w:t>23</w:t>
      </w:r>
      <w:r>
        <w:rPr>
          <w:rFonts w:ascii="Times New Roman" w:hAnsi="Times New Roman" w:eastAsia="仿宋_GB2312" w:cs="Times New Roman"/>
          <w:color w:val="auto"/>
          <w:sz w:val="32"/>
          <w:szCs w:val="32"/>
        </w:rPr>
        <w:t>年</w:t>
      </w:r>
      <w:r>
        <w:rPr>
          <w:rFonts w:hint="eastAsia" w:ascii="Times New Roman" w:hAnsi="Times New Roman" w:eastAsia="仿宋_GB2312" w:cs="Times New Roman"/>
          <w:color w:val="auto"/>
          <w:sz w:val="32"/>
          <w:szCs w:val="32"/>
          <w:lang w:val="en-US" w:eastAsia="zh-CN"/>
        </w:rPr>
        <w:t>3</w:t>
      </w:r>
      <w:r>
        <w:rPr>
          <w:rFonts w:ascii="Times New Roman" w:hAnsi="Times New Roman" w:eastAsia="仿宋_GB2312" w:cs="Times New Roman"/>
          <w:color w:val="auto"/>
          <w:sz w:val="32"/>
          <w:szCs w:val="32"/>
        </w:rPr>
        <w:t>月</w:t>
      </w:r>
      <w:r>
        <w:rPr>
          <w:rFonts w:hint="eastAsia" w:ascii="Times New Roman" w:hAnsi="Times New Roman" w:eastAsia="仿宋_GB2312" w:cs="Times New Roman"/>
          <w:color w:val="auto"/>
          <w:sz w:val="32"/>
          <w:szCs w:val="32"/>
          <w:lang w:val="en-US" w:eastAsia="zh-CN"/>
        </w:rPr>
        <w:t>7</w:t>
      </w:r>
      <w:r>
        <w:rPr>
          <w:rFonts w:ascii="Times New Roman" w:hAnsi="Times New Roman" w:eastAsia="仿宋_GB2312" w:cs="Times New Roman"/>
          <w:color w:val="auto"/>
          <w:sz w:val="32"/>
          <w:szCs w:val="32"/>
        </w:rPr>
        <w:t>日</w:t>
      </w:r>
      <w:r>
        <w:rPr>
          <w:rFonts w:hint="eastAsia" w:ascii="Times New Roman" w:hAnsi="Times New Roman" w:eastAsia="仿宋_GB2312" w:cs="Times New Roman"/>
          <w:color w:val="auto"/>
          <w:sz w:val="32"/>
          <w:szCs w:val="32"/>
        </w:rPr>
        <w:t>下</w:t>
      </w:r>
      <w:r>
        <w:rPr>
          <w:rFonts w:ascii="Times New Roman" w:hAnsi="Times New Roman" w:eastAsia="仿宋_GB2312" w:cs="Times New Roman"/>
          <w:color w:val="auto"/>
          <w:sz w:val="32"/>
          <w:szCs w:val="32"/>
        </w:rPr>
        <w:t>午</w:t>
      </w:r>
      <w:r>
        <w:rPr>
          <w:rFonts w:hint="eastAsia" w:ascii="Times New Roman" w:hAnsi="Times New Roman" w:eastAsia="仿宋_GB2312" w:cs="Times New Roman"/>
          <w:color w:val="auto"/>
          <w:sz w:val="32"/>
          <w:szCs w:val="32"/>
        </w:rPr>
        <w:t>17</w:t>
      </w:r>
      <w:r>
        <w:rPr>
          <w:rFonts w:ascii="Times New Roman" w:hAnsi="Times New Roman" w:eastAsia="仿宋_GB2312" w:cs="Times New Roman"/>
          <w:color w:val="auto"/>
          <w:sz w:val="32"/>
          <w:szCs w:val="32"/>
        </w:rPr>
        <w:t>:00前</w:t>
      </w:r>
      <w:r>
        <w:rPr>
          <w:rFonts w:ascii="Times New Roman" w:hAnsi="Times New Roman" w:eastAsia="仿宋_GB2312" w:cs="Times New Roman"/>
          <w:sz w:val="32"/>
          <w:szCs w:val="32"/>
        </w:rPr>
        <w:t>将所有材料统一密封邮寄至我</w:t>
      </w:r>
      <w:r>
        <w:rPr>
          <w:rFonts w:hint="eastAsia" w:ascii="Times New Roman" w:hAnsi="Times New Roman" w:eastAsia="仿宋_GB2312" w:cs="Times New Roman"/>
          <w:sz w:val="32"/>
          <w:szCs w:val="32"/>
        </w:rPr>
        <w:t>局</w:t>
      </w:r>
      <w:r>
        <w:rPr>
          <w:rFonts w:hint="eastAsia" w:ascii="Times New Roman" w:hAnsi="Times New Roman" w:eastAsia="仿宋_GB2312" w:cs="Times New Roman"/>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报名联系人：</w:t>
      </w:r>
      <w:r>
        <w:rPr>
          <w:rFonts w:hint="eastAsia" w:ascii="仿宋_GB2312" w:hAnsi="仿宋_GB2312" w:eastAsia="仿宋_GB2312" w:cs="仿宋_GB2312"/>
          <w:sz w:val="32"/>
          <w:szCs w:val="32"/>
          <w:lang w:eastAsia="zh-CN"/>
        </w:rPr>
        <w:t>齐代宗</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联系电话：0512-851825</w:t>
      </w:r>
      <w:r>
        <w:rPr>
          <w:rFonts w:hint="eastAsia" w:ascii="仿宋_GB2312" w:hAnsi="仿宋_GB2312" w:eastAsia="仿宋_GB2312" w:cs="仿宋_GB2312"/>
          <w:sz w:val="32"/>
          <w:szCs w:val="32"/>
          <w:lang w:val="en-US" w:eastAsia="zh-CN"/>
        </w:rPr>
        <w:t>91</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联系地址：苏州市相城区阳澄湖东路8号行政中心9号楼</w:t>
      </w:r>
      <w:r>
        <w:rPr>
          <w:rFonts w:hint="eastAsia" w:ascii="仿宋_GB2312" w:hAnsi="仿宋_GB2312" w:eastAsia="仿宋_GB2312" w:cs="仿宋_GB2312"/>
          <w:sz w:val="32"/>
          <w:szCs w:val="32"/>
          <w:lang w:eastAsia="zh-CN"/>
        </w:rPr>
        <w:t>农业农村局</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eastAsia" w:ascii="黑体" w:hAnsi="黑体" w:eastAsia="仿宋_GB2312" w:cs="黑体"/>
          <w:sz w:val="32"/>
          <w:szCs w:val="32"/>
          <w:lang w:val="en-US" w:eastAsia="zh-CN"/>
        </w:rPr>
      </w:pPr>
      <w:r>
        <w:rPr>
          <w:rFonts w:hint="eastAsia" w:ascii="仿宋_GB2312" w:hAnsi="仿宋_GB2312" w:eastAsia="仿宋_GB2312" w:cs="仿宋_GB2312"/>
          <w:sz w:val="32"/>
          <w:szCs w:val="32"/>
        </w:rPr>
        <w:t>投诉电话：0512-8518</w:t>
      </w:r>
      <w:r>
        <w:rPr>
          <w:rFonts w:hint="eastAsia" w:ascii="仿宋_GB2312" w:hAnsi="仿宋_GB2312" w:eastAsia="仿宋_GB2312" w:cs="仿宋_GB2312"/>
          <w:sz w:val="32"/>
          <w:szCs w:val="32"/>
          <w:lang w:val="en-US" w:eastAsia="zh-CN"/>
        </w:rPr>
        <w:t>1084 卢成</w:t>
      </w:r>
    </w:p>
    <w:p>
      <w:pPr>
        <w:keepNext w:val="0"/>
        <w:keepLines w:val="0"/>
        <w:pageBreakBefore w:val="0"/>
        <w:widowControl w:val="0"/>
        <w:kinsoku/>
        <w:wordWrap/>
        <w:overflowPunct/>
        <w:topLinePunct w:val="0"/>
        <w:autoSpaceDE/>
        <w:autoSpaceDN/>
        <w:bidi w:val="0"/>
        <w:adjustRightInd/>
        <w:snapToGrid/>
        <w:spacing w:line="600" w:lineRule="exact"/>
        <w:ind w:firstLine="4480" w:firstLineChars="1400"/>
        <w:jc w:val="both"/>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4480" w:firstLineChars="1400"/>
        <w:jc w:val="both"/>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4480" w:firstLineChars="14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苏州市相城区农业农村局</w:t>
      </w:r>
    </w:p>
    <w:p>
      <w:pPr>
        <w:keepNext w:val="0"/>
        <w:keepLines w:val="0"/>
        <w:pageBreakBefore w:val="0"/>
        <w:widowControl w:val="0"/>
        <w:kinsoku/>
        <w:wordWrap/>
        <w:overflowPunct/>
        <w:topLinePunct w:val="0"/>
        <w:autoSpaceDE/>
        <w:autoSpaceDN/>
        <w:bidi w:val="0"/>
        <w:adjustRightInd/>
        <w:snapToGrid/>
        <w:spacing w:line="600" w:lineRule="exact"/>
        <w:ind w:firstLine="4480" w:firstLineChars="1400"/>
        <w:jc w:val="both"/>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color w:val="auto"/>
          <w:sz w:val="32"/>
          <w:szCs w:val="32"/>
          <w:lang w:val="en-US" w:eastAsia="zh-CN"/>
        </w:rPr>
        <w:t xml:space="preserve"> 2023年2月23日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Garamond">
    <w:altName w:val="PMingLiU-ExtB"/>
    <w:panose1 w:val="02020404030301010803"/>
    <w:charset w:val="00"/>
    <w:family w:val="roman"/>
    <w:pitch w:val="default"/>
    <w:sig w:usb0="00000000" w:usb1="00000000" w:usb2="00000000" w:usb3="00000000" w:csb0="0000009F" w:csb1="DFD7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auto"/>
    <w:pitch w:val="default"/>
    <w:sig w:usb0="00000001" w:usb1="080E0000" w:usb2="00000000" w:usb3="00000000" w:csb0="00040000" w:csb1="00000000"/>
  </w:font>
  <w:font w:name="PMingLiU-ExtB">
    <w:panose1 w:val="02020500000000000000"/>
    <w:charset w:val="88"/>
    <w:family w:val="auto"/>
    <w:pitch w:val="default"/>
    <w:sig w:usb0="8000002F" w:usb1="02000008" w:usb2="00000000" w:usb3="00000000" w:csb0="001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7"/>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Q5ZjQ1ZjA5NGUxNTlhZTYyNTQ2MWM1OTRjMzA5OTAifQ=="/>
  </w:docVars>
  <w:rsids>
    <w:rsidRoot w:val="00000000"/>
    <w:rsid w:val="0036569D"/>
    <w:rsid w:val="00DB5C3A"/>
    <w:rsid w:val="01D120AA"/>
    <w:rsid w:val="02621973"/>
    <w:rsid w:val="02A924A8"/>
    <w:rsid w:val="040B2569"/>
    <w:rsid w:val="04395789"/>
    <w:rsid w:val="05924162"/>
    <w:rsid w:val="05C64892"/>
    <w:rsid w:val="064C4FC9"/>
    <w:rsid w:val="06E500E0"/>
    <w:rsid w:val="079E2073"/>
    <w:rsid w:val="07A5171B"/>
    <w:rsid w:val="07D41307"/>
    <w:rsid w:val="07F85C93"/>
    <w:rsid w:val="086D28B2"/>
    <w:rsid w:val="093F58C0"/>
    <w:rsid w:val="09412F04"/>
    <w:rsid w:val="097156AB"/>
    <w:rsid w:val="0A2C0A01"/>
    <w:rsid w:val="0A2D7913"/>
    <w:rsid w:val="0A816C87"/>
    <w:rsid w:val="0ADD6265"/>
    <w:rsid w:val="0B1F21C9"/>
    <w:rsid w:val="0B4A2108"/>
    <w:rsid w:val="0C65051A"/>
    <w:rsid w:val="0D8561B8"/>
    <w:rsid w:val="0DC44FEB"/>
    <w:rsid w:val="0E9C2118"/>
    <w:rsid w:val="0F73174D"/>
    <w:rsid w:val="0FF71FC9"/>
    <w:rsid w:val="10E363B9"/>
    <w:rsid w:val="11916A7D"/>
    <w:rsid w:val="11FD3BDC"/>
    <w:rsid w:val="12880BE8"/>
    <w:rsid w:val="128F171E"/>
    <w:rsid w:val="130475A8"/>
    <w:rsid w:val="13132EC8"/>
    <w:rsid w:val="13885472"/>
    <w:rsid w:val="139033D3"/>
    <w:rsid w:val="139C6E5D"/>
    <w:rsid w:val="13C738FA"/>
    <w:rsid w:val="14274956"/>
    <w:rsid w:val="151A003F"/>
    <w:rsid w:val="154B4B08"/>
    <w:rsid w:val="15793B29"/>
    <w:rsid w:val="16735BA5"/>
    <w:rsid w:val="16794109"/>
    <w:rsid w:val="17007819"/>
    <w:rsid w:val="173137E6"/>
    <w:rsid w:val="179D48B6"/>
    <w:rsid w:val="17B2749F"/>
    <w:rsid w:val="17D10A59"/>
    <w:rsid w:val="18273EAF"/>
    <w:rsid w:val="184844A3"/>
    <w:rsid w:val="18573916"/>
    <w:rsid w:val="18CB0650"/>
    <w:rsid w:val="197949E3"/>
    <w:rsid w:val="19FE4E52"/>
    <w:rsid w:val="1A271C8E"/>
    <w:rsid w:val="1A397425"/>
    <w:rsid w:val="1B571497"/>
    <w:rsid w:val="1B8C0F67"/>
    <w:rsid w:val="1C0B20B8"/>
    <w:rsid w:val="1CA04610"/>
    <w:rsid w:val="1DF17D7C"/>
    <w:rsid w:val="1DF80D53"/>
    <w:rsid w:val="1E61270F"/>
    <w:rsid w:val="1E9E3FC6"/>
    <w:rsid w:val="1ED87490"/>
    <w:rsid w:val="1EE538F7"/>
    <w:rsid w:val="1F2D7261"/>
    <w:rsid w:val="20432A00"/>
    <w:rsid w:val="206F61B9"/>
    <w:rsid w:val="20FE3A17"/>
    <w:rsid w:val="2102228C"/>
    <w:rsid w:val="21BE6740"/>
    <w:rsid w:val="227909E6"/>
    <w:rsid w:val="23D045D9"/>
    <w:rsid w:val="23D304E4"/>
    <w:rsid w:val="23D86051"/>
    <w:rsid w:val="2406098A"/>
    <w:rsid w:val="24061BEF"/>
    <w:rsid w:val="244A2F6C"/>
    <w:rsid w:val="24881250"/>
    <w:rsid w:val="24D04F04"/>
    <w:rsid w:val="26611461"/>
    <w:rsid w:val="280C4105"/>
    <w:rsid w:val="28635B94"/>
    <w:rsid w:val="29212902"/>
    <w:rsid w:val="29650A0A"/>
    <w:rsid w:val="29782DCF"/>
    <w:rsid w:val="2A1E4CF5"/>
    <w:rsid w:val="2A411392"/>
    <w:rsid w:val="2A97095C"/>
    <w:rsid w:val="2BAF5AD7"/>
    <w:rsid w:val="2BC67277"/>
    <w:rsid w:val="2CEF0101"/>
    <w:rsid w:val="2DEB4049"/>
    <w:rsid w:val="2F0D49E8"/>
    <w:rsid w:val="2FC96F73"/>
    <w:rsid w:val="30351A92"/>
    <w:rsid w:val="30F958B9"/>
    <w:rsid w:val="31324E40"/>
    <w:rsid w:val="313C6503"/>
    <w:rsid w:val="31A540E5"/>
    <w:rsid w:val="31EA21DE"/>
    <w:rsid w:val="321429CF"/>
    <w:rsid w:val="321E6D7C"/>
    <w:rsid w:val="332F79D1"/>
    <w:rsid w:val="34084FF4"/>
    <w:rsid w:val="346C5731"/>
    <w:rsid w:val="34DC51BD"/>
    <w:rsid w:val="35046AB2"/>
    <w:rsid w:val="359F7751"/>
    <w:rsid w:val="35B443AB"/>
    <w:rsid w:val="360A581D"/>
    <w:rsid w:val="370F4A95"/>
    <w:rsid w:val="3725454C"/>
    <w:rsid w:val="379E73FF"/>
    <w:rsid w:val="37ED0913"/>
    <w:rsid w:val="38967FE8"/>
    <w:rsid w:val="38C950C6"/>
    <w:rsid w:val="392308EC"/>
    <w:rsid w:val="39352E6D"/>
    <w:rsid w:val="39416F1E"/>
    <w:rsid w:val="3A4E3E08"/>
    <w:rsid w:val="3A691214"/>
    <w:rsid w:val="3C085712"/>
    <w:rsid w:val="3C60303F"/>
    <w:rsid w:val="3CD1347D"/>
    <w:rsid w:val="3D0F205B"/>
    <w:rsid w:val="3D960F08"/>
    <w:rsid w:val="3DAA3DE3"/>
    <w:rsid w:val="3DEB7B89"/>
    <w:rsid w:val="3DFD29A6"/>
    <w:rsid w:val="3EA7063E"/>
    <w:rsid w:val="3EF7514D"/>
    <w:rsid w:val="3F28455C"/>
    <w:rsid w:val="3F5D6CBD"/>
    <w:rsid w:val="3F94722A"/>
    <w:rsid w:val="402637AC"/>
    <w:rsid w:val="40332DB5"/>
    <w:rsid w:val="404430F3"/>
    <w:rsid w:val="4071797F"/>
    <w:rsid w:val="4086781A"/>
    <w:rsid w:val="40AB7870"/>
    <w:rsid w:val="40C32384"/>
    <w:rsid w:val="4192003F"/>
    <w:rsid w:val="41AC521B"/>
    <w:rsid w:val="41B44362"/>
    <w:rsid w:val="41B6779E"/>
    <w:rsid w:val="41F821D9"/>
    <w:rsid w:val="427D75B7"/>
    <w:rsid w:val="42F05030"/>
    <w:rsid w:val="43D610D2"/>
    <w:rsid w:val="43E12A5D"/>
    <w:rsid w:val="443E134F"/>
    <w:rsid w:val="44454E68"/>
    <w:rsid w:val="454F20E2"/>
    <w:rsid w:val="45CD7540"/>
    <w:rsid w:val="49232CD2"/>
    <w:rsid w:val="49381757"/>
    <w:rsid w:val="49964CEF"/>
    <w:rsid w:val="49C025C1"/>
    <w:rsid w:val="4A0C77A4"/>
    <w:rsid w:val="4A763BA4"/>
    <w:rsid w:val="4AEF49DF"/>
    <w:rsid w:val="4B5B7F36"/>
    <w:rsid w:val="4C281A1A"/>
    <w:rsid w:val="4C364CC1"/>
    <w:rsid w:val="4D3456ED"/>
    <w:rsid w:val="4D8A155B"/>
    <w:rsid w:val="4D8E003E"/>
    <w:rsid w:val="4E8728A1"/>
    <w:rsid w:val="4F645B4D"/>
    <w:rsid w:val="4FBB5B32"/>
    <w:rsid w:val="51903584"/>
    <w:rsid w:val="51EF59F5"/>
    <w:rsid w:val="522415CD"/>
    <w:rsid w:val="52D506E7"/>
    <w:rsid w:val="53486F92"/>
    <w:rsid w:val="53A47662"/>
    <w:rsid w:val="540E4E21"/>
    <w:rsid w:val="544365D7"/>
    <w:rsid w:val="54B73314"/>
    <w:rsid w:val="55CF6AF3"/>
    <w:rsid w:val="57307C04"/>
    <w:rsid w:val="578A4F55"/>
    <w:rsid w:val="57C308A2"/>
    <w:rsid w:val="57C4034C"/>
    <w:rsid w:val="57D56F94"/>
    <w:rsid w:val="584E1C4D"/>
    <w:rsid w:val="58B815A2"/>
    <w:rsid w:val="59DB426B"/>
    <w:rsid w:val="5A572EEE"/>
    <w:rsid w:val="5B053637"/>
    <w:rsid w:val="5B374BD0"/>
    <w:rsid w:val="5BCA7902"/>
    <w:rsid w:val="5C73160E"/>
    <w:rsid w:val="5CCC26B8"/>
    <w:rsid w:val="5D076B69"/>
    <w:rsid w:val="5D3C32F5"/>
    <w:rsid w:val="5DD84692"/>
    <w:rsid w:val="5E2C7F66"/>
    <w:rsid w:val="5E8079D6"/>
    <w:rsid w:val="5E9C2E43"/>
    <w:rsid w:val="5F6E2D75"/>
    <w:rsid w:val="5F7E4B31"/>
    <w:rsid w:val="5F965E0F"/>
    <w:rsid w:val="60235370"/>
    <w:rsid w:val="60815AC6"/>
    <w:rsid w:val="60D32822"/>
    <w:rsid w:val="60FC5B99"/>
    <w:rsid w:val="61AD46B0"/>
    <w:rsid w:val="64130153"/>
    <w:rsid w:val="64177F99"/>
    <w:rsid w:val="64F30903"/>
    <w:rsid w:val="654437EB"/>
    <w:rsid w:val="660D008F"/>
    <w:rsid w:val="66E12585"/>
    <w:rsid w:val="671D4C64"/>
    <w:rsid w:val="672F320A"/>
    <w:rsid w:val="67530038"/>
    <w:rsid w:val="685C445F"/>
    <w:rsid w:val="69230A3E"/>
    <w:rsid w:val="69422C38"/>
    <w:rsid w:val="69490D92"/>
    <w:rsid w:val="698021B4"/>
    <w:rsid w:val="69BE787A"/>
    <w:rsid w:val="6A3047CF"/>
    <w:rsid w:val="6A9E17AA"/>
    <w:rsid w:val="6ACD5773"/>
    <w:rsid w:val="6C1C4C0A"/>
    <w:rsid w:val="6C3E51B0"/>
    <w:rsid w:val="6C6D1BBA"/>
    <w:rsid w:val="6DE16401"/>
    <w:rsid w:val="6F5F66F7"/>
    <w:rsid w:val="6FA231C5"/>
    <w:rsid w:val="6FA55F4A"/>
    <w:rsid w:val="6FB27B40"/>
    <w:rsid w:val="70B03611"/>
    <w:rsid w:val="721727F8"/>
    <w:rsid w:val="72B45598"/>
    <w:rsid w:val="72BF4EB6"/>
    <w:rsid w:val="737A1DC7"/>
    <w:rsid w:val="73AC34A2"/>
    <w:rsid w:val="740F6981"/>
    <w:rsid w:val="744C331C"/>
    <w:rsid w:val="74BB0A47"/>
    <w:rsid w:val="75DC2753"/>
    <w:rsid w:val="76837B55"/>
    <w:rsid w:val="76AE6B5B"/>
    <w:rsid w:val="76E30733"/>
    <w:rsid w:val="772A2E0B"/>
    <w:rsid w:val="7757596B"/>
    <w:rsid w:val="77B0061A"/>
    <w:rsid w:val="77BA22F7"/>
    <w:rsid w:val="780D37F8"/>
    <w:rsid w:val="78521794"/>
    <w:rsid w:val="78E453AE"/>
    <w:rsid w:val="790B7DA1"/>
    <w:rsid w:val="79453BEB"/>
    <w:rsid w:val="79D128C0"/>
    <w:rsid w:val="7AF050AA"/>
    <w:rsid w:val="7AFE5D20"/>
    <w:rsid w:val="7B350AF7"/>
    <w:rsid w:val="7C1A3F8B"/>
    <w:rsid w:val="7C8B38B7"/>
    <w:rsid w:val="7D884D1F"/>
    <w:rsid w:val="7E9E14D0"/>
    <w:rsid w:val="7EA83BAB"/>
    <w:rsid w:val="7F36401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Garamond" w:hAnsi="Garamond"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1136</Words>
  <Characters>1219</Characters>
  <Lines>0</Lines>
  <Paragraphs>0</Paragraphs>
  <TotalTime>15</TotalTime>
  <ScaleCrop>false</ScaleCrop>
  <LinksUpToDate>false</LinksUpToDate>
  <CharactersWithSpaces>1223</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青一</cp:lastModifiedBy>
  <cp:lastPrinted>2023-02-22T01:04:45Z</cp:lastPrinted>
  <dcterms:modified xsi:type="dcterms:W3CDTF">2023-02-22T01:21:02Z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4F21653A5AFD44B49E152CD8D66F5510</vt:lpwstr>
  </property>
</Properties>
</file>