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8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8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8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8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苏州市相城区2023年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8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慢性病及社会影响因素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8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调查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8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报告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8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《“健康中国2030”规划纲要》指出：健康是促进人的全面发展的必然要求，是经济社会发展的基础条件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然而，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随着社会经济的发展，人民生活水平的提高和人口老龄化的日益突出，以心脑血管疾病、肿瘤、糖尿病等疾病为主的慢性非传染性疾病（以下简称慢性病）已成为越来越严重的公共卫生问题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慢性病及社会影响因素调查也叫“社区诊断调查”，就是通过社会学、人类学、流行病学、管理学等方法，对辖区的主要公共卫生问题及其影响因素、社区资源配置和服务利用进行客观、科学的确定与评价（健康需求+资源需求），为政府制定相应的卫生政策和措施提供科学依据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2023年相城区组织开展了慢性病及社会影响因素调查工作，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并结合人口数据、社会经济、环境状况、卫生状况、死因监测报告等资料形成了《相城区2023年慢性病及社会影响因素调查报告》，现将结果发布如下：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一、人口学基本特征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年末相城区总人口为101.82万人，其中，户籍人口为49.79万人（48.90%），流动人口为52.03万人（51.10%）；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男性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人口为49.79万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人（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48.90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%），女性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人口为52.03万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人（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51.10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%）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男女性别比为0.96：1。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highlight w:val="no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在20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年末相城区户籍人口中，60岁以上人口数为11.42万人，占全户籍人口的22.94%；65岁以上人口数为9.33万人，占全户籍人口的18.74%，两个数据均表明相城区已进入“中度老龄化”社会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相城区全年户籍人口出生率8.07‰，年死亡率7.54‰，自然增长率0.53‰，呈微弱的正增长。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二、居民主要死亡原因和平均期望寿命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2022年相城区户籍人口死亡3706人，总死亡率为754.03/10万，标化死亡率为384.28/10万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其中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男性死亡2015人，死亡率为843.13/10万，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标化死亡率为490.64 /10万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女性死亡1691人，死亡率为669.70/10万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标化死亡率为292.34/10万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男性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死亡率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高于女性。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2022年相城区户籍居民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前五位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死亡原因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依次为恶性肿瘤、脑血管病、心脏病、伤害、呼吸系统疾病，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共占全部死亡的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80.22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%（表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839" w:leftChars="152" w:hanging="3520" w:hangingChars="11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表1：2022年相城区户籍居民前五位死因死亡率、构成及顺位</w:t>
      </w:r>
    </w:p>
    <w:tbl>
      <w:tblPr>
        <w:tblStyle w:val="9"/>
        <w:tblW w:w="916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2244"/>
        <w:gridCol w:w="1704"/>
        <w:gridCol w:w="2784"/>
        <w:gridCol w:w="1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顺位</w:t>
            </w:r>
          </w:p>
        </w:tc>
        <w:tc>
          <w:tcPr>
            <w:tcW w:w="22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死    因</w:t>
            </w:r>
          </w:p>
        </w:tc>
        <w:tc>
          <w:tcPr>
            <w:tcW w:w="17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死亡数</w:t>
            </w:r>
          </w:p>
        </w:tc>
        <w:tc>
          <w:tcPr>
            <w:tcW w:w="27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粗死亡率（/10万）</w:t>
            </w:r>
          </w:p>
        </w:tc>
        <w:tc>
          <w:tcPr>
            <w:tcW w:w="17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构成比（%）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lang w:val="en-US" w:eastAsia="zh-CN" w:bidi="ar"/>
              </w:rPr>
              <w:t>恶性肿瘤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1020</w:t>
            </w:r>
          </w:p>
        </w:tc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207.53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lang w:val="en-US" w:eastAsia="zh-CN" w:bidi="ar"/>
              </w:rPr>
              <w:t>脑血管病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722</w:t>
            </w:r>
          </w:p>
        </w:tc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146.9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lang w:val="en-US" w:eastAsia="zh-CN" w:bidi="ar"/>
              </w:rPr>
              <w:t>心脏病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531</w:t>
            </w:r>
          </w:p>
        </w:tc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108.04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lang w:val="en-US" w:eastAsia="zh-CN" w:bidi="ar"/>
              </w:rPr>
              <w:t>伤害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392</w:t>
            </w:r>
          </w:p>
        </w:tc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79.76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lang w:val="en-US" w:eastAsia="zh-CN" w:bidi="ar"/>
              </w:rPr>
              <w:t>呼吸系统疾病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308</w:t>
            </w:r>
          </w:p>
        </w:tc>
        <w:tc>
          <w:tcPr>
            <w:tcW w:w="2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62.67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4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6"/>
                <w:rFonts w:hint="eastAsia" w:ascii="仿宋_GB2312" w:hAnsi="仿宋_GB2312" w:eastAsia="仿宋_GB2312" w:cs="仿宋_GB2312"/>
                <w:lang w:val="en-US" w:eastAsia="zh-CN" w:bidi="ar"/>
              </w:rPr>
              <w:t>合计</w:t>
            </w:r>
          </w:p>
        </w:tc>
        <w:tc>
          <w:tcPr>
            <w:tcW w:w="17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2973</w:t>
            </w:r>
          </w:p>
        </w:tc>
        <w:tc>
          <w:tcPr>
            <w:tcW w:w="27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604.9</w:t>
            </w:r>
          </w:p>
        </w:tc>
        <w:tc>
          <w:tcPr>
            <w:tcW w:w="17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80.22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2022年相城区户籍居民人均期望寿命为82.27岁。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三、居民</w:t>
      </w: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主要慢性病死亡报告及早死概率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eastAsia="zh-CN"/>
        </w:rPr>
        <w:t>2022年相城区户籍居民的主要死亡原因仍为慢性非传染性疾病，前三位死因分别为恶性肿瘤、脑血管病和心脏病，共报告死亡2273例，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占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</w:rPr>
        <w:t>总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死亡人数的61.33%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2022年30-70岁人群重大慢性病（恶性肿瘤、心血管病疾病、糖尿病、慢性呼吸系统疾病）过早死亡率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7.90%。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四、居民重大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慢性病发病情况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2022年相城区居民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前四位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慢性病发病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依次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为脑卒中、恶性肿瘤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糖尿病和冠心病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表2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2022年脑卒中发病率为608.1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/10万，其中男性6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69.06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/10万，女性550.49/10万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恶性肿瘤发病率为462.47/10万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男性512.15/10万，女性415.44/10万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恶性肿瘤发病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前三位分别是肺癌、胃癌和乳腺癌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2型糖尿病发病率为355.24/10万，其中男性409.22/10万，女性304.15/10万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冠心病发病率为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331.23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/10万，其中男性376.16/10万，女性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288.71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/10万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详见表2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2：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</w:rPr>
        <w:t>相城区居民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前四位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慢性病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</w:t>
      </w:r>
      <w:r>
        <w:rPr>
          <w:rFonts w:hint="eastAsia" w:ascii="仿宋_GB2312" w:hAnsi="仿宋_GB2312" w:eastAsia="仿宋_GB2312" w:cs="仿宋_GB2312"/>
          <w:sz w:val="32"/>
          <w:szCs w:val="32"/>
        </w:rPr>
        <w:t>病率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</w:t>
      </w:r>
      <w:r>
        <w:rPr>
          <w:rFonts w:hint="eastAsia" w:ascii="仿宋_GB2312" w:hAnsi="仿宋_GB2312" w:eastAsia="仿宋_GB2312" w:cs="仿宋_GB2312"/>
          <w:sz w:val="32"/>
          <w:szCs w:val="32"/>
        </w:rPr>
        <w:t>病率（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/10万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及顺位</w:t>
      </w:r>
    </w:p>
    <w:tbl>
      <w:tblPr>
        <w:tblStyle w:val="10"/>
        <w:tblW w:w="5459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3"/>
        <w:gridCol w:w="1392"/>
        <w:gridCol w:w="1083"/>
        <w:gridCol w:w="1325"/>
        <w:gridCol w:w="1152"/>
        <w:gridCol w:w="1394"/>
        <w:gridCol w:w="107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bookmarkStart w:id="0" w:name="_Hlk143777863"/>
          </w:p>
        </w:tc>
        <w:tc>
          <w:tcPr>
            <w:tcW w:w="1250" w:type="pct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总人群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发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病率</w:t>
            </w:r>
          </w:p>
        </w:tc>
        <w:tc>
          <w:tcPr>
            <w:tcW w:w="1251" w:type="pct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男性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发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病率</w:t>
            </w:r>
          </w:p>
        </w:tc>
        <w:tc>
          <w:tcPr>
            <w:tcW w:w="1247" w:type="pct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女性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发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病率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tcBorders>
              <w:top w:val="nil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疾病</w:t>
            </w:r>
          </w:p>
        </w:tc>
        <w:tc>
          <w:tcPr>
            <w:tcW w:w="70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粗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发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病率</w:t>
            </w:r>
          </w:p>
        </w:tc>
        <w:tc>
          <w:tcPr>
            <w:tcW w:w="54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标化率</w:t>
            </w:r>
          </w:p>
        </w:tc>
        <w:tc>
          <w:tcPr>
            <w:tcW w:w="66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粗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发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病率</w:t>
            </w:r>
          </w:p>
        </w:tc>
        <w:tc>
          <w:tcPr>
            <w:tcW w:w="58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标化率</w:t>
            </w:r>
          </w:p>
        </w:tc>
        <w:tc>
          <w:tcPr>
            <w:tcW w:w="704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粗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>发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病率</w:t>
            </w:r>
          </w:p>
        </w:tc>
        <w:tc>
          <w:tcPr>
            <w:tcW w:w="54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标化率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249" w:type="pct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bookmarkStart w:id="1" w:name="_Hlk148452751"/>
            <w:bookmarkStart w:id="2" w:name="_Hlk14845312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脑卒中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608.15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360.39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669.06</w:t>
            </w:r>
          </w:p>
        </w:tc>
        <w:tc>
          <w:tcPr>
            <w:tcW w:w="582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421.74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550.49</w:t>
            </w:r>
          </w:p>
        </w:tc>
        <w:tc>
          <w:tcPr>
            <w:tcW w:w="543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305.00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恶性肿瘤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462.47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325.77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512.15</w:t>
            </w:r>
          </w:p>
        </w:tc>
        <w:tc>
          <w:tcPr>
            <w:tcW w:w="582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335.00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415.44</w:t>
            </w:r>
          </w:p>
        </w:tc>
        <w:tc>
          <w:tcPr>
            <w:tcW w:w="543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317.73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2型糖尿病</w:t>
            </w:r>
          </w:p>
        </w:tc>
        <w:tc>
          <w:tcPr>
            <w:tcW w:w="703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355.24</w:t>
            </w:r>
          </w:p>
        </w:tc>
        <w:tc>
          <w:tcPr>
            <w:tcW w:w="547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272.34</w:t>
            </w:r>
          </w:p>
        </w:tc>
        <w:tc>
          <w:tcPr>
            <w:tcW w:w="669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409.22</w:t>
            </w:r>
          </w:p>
        </w:tc>
        <w:tc>
          <w:tcPr>
            <w:tcW w:w="582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325.18</w:t>
            </w:r>
          </w:p>
        </w:tc>
        <w:tc>
          <w:tcPr>
            <w:tcW w:w="704" w:type="pct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 xml:space="preserve">304.15  </w:t>
            </w:r>
          </w:p>
        </w:tc>
        <w:tc>
          <w:tcPr>
            <w:tcW w:w="543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223.83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pct"/>
            <w:tcBorders>
              <w:top w:val="nil"/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冠心病</w:t>
            </w:r>
          </w:p>
        </w:tc>
        <w:tc>
          <w:tcPr>
            <w:tcW w:w="703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331.23</w:t>
            </w:r>
          </w:p>
        </w:tc>
        <w:tc>
          <w:tcPr>
            <w:tcW w:w="547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210.46</w:t>
            </w:r>
          </w:p>
        </w:tc>
        <w:tc>
          <w:tcPr>
            <w:tcW w:w="669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376.16</w:t>
            </w:r>
          </w:p>
        </w:tc>
        <w:tc>
          <w:tcPr>
            <w:tcW w:w="582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253.34</w:t>
            </w:r>
          </w:p>
        </w:tc>
        <w:tc>
          <w:tcPr>
            <w:tcW w:w="704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288.71</w:t>
            </w:r>
          </w:p>
        </w:tc>
        <w:tc>
          <w:tcPr>
            <w:tcW w:w="543" w:type="pct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172.02</w:t>
            </w:r>
          </w:p>
        </w:tc>
      </w:tr>
      <w:bookmarkEnd w:id="0"/>
      <w:bookmarkEnd w:id="1"/>
      <w:bookmarkEnd w:id="2"/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五、居民主要慢性病及危险因素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相城区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15岁及以上居民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慢性病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影响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因素专项调查对象共8191人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调查结果显示：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  <w:t>主要慢性病情况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高血压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高血压患病率为35.75%，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标化患病率为30.01%；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男性高血压患病率为38.08%，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2.72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女性高血压患病率为33.14%，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26.63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高血压知晓率为92.16%，</w:t>
      </w:r>
      <w:r>
        <w:rPr>
          <w:rFonts w:hint="eastAsia" w:ascii="仿宋_GB2312" w:hAnsi="仿宋_GB2312" w:eastAsia="仿宋_GB2312" w:cs="仿宋_GB2312"/>
          <w:sz w:val="32"/>
          <w:szCs w:val="32"/>
        </w:rPr>
        <w:t>控制率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72.54%。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2.冠心病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冠心病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1.34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0.94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男性冠心病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1.34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0.91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女性冠心病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1.34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0.97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3.脑卒中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脑卒中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1.72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1.23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男性脑卒中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1.57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1.15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女性脑卒中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1.89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1.33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4.糖尿病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糖尿病患病率为10.27%，标化患病率为8.53%；男性糖尿病患病率为10.32%，标化患病率为8.80%；女性糖尿病患病率为10.21%，标化患病率为8.20%；糖尿病知晓率为84.34%，糖尿病控制率为56.86%。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5.高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脂血症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高脂血症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总人群</w:t>
      </w:r>
      <w:r>
        <w:rPr>
          <w:rFonts w:hint="eastAsia" w:ascii="仿宋_GB2312" w:hAnsi="仿宋_GB2312" w:eastAsia="仿宋_GB2312" w:cs="仿宋_GB2312"/>
          <w:sz w:val="32"/>
          <w:szCs w:val="32"/>
        </w:rPr>
        <w:t>粗患病率为5.46%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标化患病率为4.71%；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男性</w:t>
      </w:r>
      <w:r>
        <w:rPr>
          <w:rFonts w:hint="eastAsia" w:ascii="仿宋_GB2312" w:hAnsi="仿宋_GB2312" w:eastAsia="仿宋_GB2312" w:cs="仿宋_GB2312"/>
          <w:sz w:val="32"/>
          <w:szCs w:val="32"/>
        </w:rPr>
        <w:t>高脂血症粗患病率为5.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90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女性</w:t>
      </w:r>
      <w:r>
        <w:rPr>
          <w:rFonts w:hint="eastAsia" w:ascii="仿宋_GB2312" w:hAnsi="仿宋_GB2312" w:eastAsia="仿宋_GB2312" w:cs="仿宋_GB2312"/>
          <w:sz w:val="32"/>
          <w:szCs w:val="32"/>
        </w:rPr>
        <w:t>高脂血症粗患病率为5.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53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1%；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高脂血症控制率</w:t>
      </w:r>
      <w:r>
        <w:rPr>
          <w:rFonts w:hint="eastAsia" w:ascii="仿宋_GB2312" w:hAnsi="仿宋_GB2312" w:eastAsia="仿宋_GB2312" w:cs="仿宋_GB2312"/>
          <w:sz w:val="32"/>
          <w:szCs w:val="32"/>
        </w:rPr>
        <w:t>66.22%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  <w:t>6.骨质疏松症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骨质疏松症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4.14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3.18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男性骨质疏松症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1.97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1.46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女性骨质疏松症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6.57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5.08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女性显著高于男性。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  <w:t>7.慢性阻塞性肺疾病（慢阻肺）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慢阻肺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0.85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0.59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男性慢阻肺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1.23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0.74</w:t>
      </w:r>
      <w:r>
        <w:rPr>
          <w:rFonts w:hint="eastAsia" w:ascii="仿宋_GB2312" w:hAnsi="仿宋_GB2312" w:eastAsia="仿宋_GB2312" w:cs="仿宋_GB2312"/>
          <w:sz w:val="32"/>
          <w:szCs w:val="32"/>
        </w:rPr>
        <w:t>%；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女性慢阻肺</w:t>
      </w:r>
      <w:r>
        <w:rPr>
          <w:rFonts w:hint="eastAsia" w:ascii="仿宋_GB2312" w:hAnsi="仿宋_GB2312" w:eastAsia="仿宋_GB2312" w:cs="仿宋_GB2312"/>
          <w:sz w:val="32"/>
          <w:szCs w:val="32"/>
        </w:rPr>
        <w:t>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0.44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标化患病率为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0.34</w:t>
      </w:r>
      <w:r>
        <w:rPr>
          <w:rFonts w:hint="eastAsia" w:ascii="仿宋_GB2312" w:hAnsi="仿宋_GB2312" w:eastAsia="仿宋_GB2312" w:cs="仿宋_GB2312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  <w:t>8.超重与肥胖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</w:rPr>
        <w:t>相城区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慢性病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社会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影响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因素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专项调查结果显示：相城区15岁以上常住居民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超重率为37.38% ，肥胖率为14.20% ；其中，男性超重率和肥胖率分别为41.09%和16.57%，女性超重率和肥胖率分别为33.24%和11.55%，男性的超重率和肥胖率显著高于女性。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"/>
        </w:rPr>
        <w:t>（二）主要危险因素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1.吸烟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居民现在</w:t>
      </w:r>
      <w:r>
        <w:rPr>
          <w:rFonts w:hint="eastAsia" w:ascii="仿宋_GB2312" w:hAnsi="仿宋_GB2312" w:eastAsia="仿宋_GB2312" w:cs="仿宋_GB2312"/>
          <w:sz w:val="32"/>
          <w:szCs w:val="32"/>
        </w:rPr>
        <w:t>吸烟率为29.5%，标化吸烟率为28.6%。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其中，</w:t>
      </w:r>
      <w:r>
        <w:rPr>
          <w:rFonts w:hint="eastAsia" w:ascii="仿宋_GB2312" w:hAnsi="仿宋_GB2312" w:eastAsia="仿宋_GB2312" w:cs="仿宋_GB2312"/>
          <w:sz w:val="32"/>
          <w:szCs w:val="32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</w:t>
      </w:r>
      <w:r>
        <w:rPr>
          <w:rFonts w:hint="eastAsia" w:ascii="仿宋_GB2312" w:hAnsi="仿宋_GB2312" w:eastAsia="仿宋_GB2312" w:cs="仿宋_GB2312"/>
          <w:sz w:val="32"/>
          <w:szCs w:val="32"/>
        </w:rPr>
        <w:t>吸烟率为55.0%，标化吸烟率为52.3%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戒烟率为10.8%，标化戒烟率为8.9%。女性吸烟率为1.1%，标化吸烟率为1.2%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戒烟率为0.2%，标化戒烟率为0.2%。在各个年龄阶段女性吸烟率均低于男性。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2.饮酒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居民现在饮酒率为34.5%，标化饮酒率为36.1%。男性饮酒率为54.8%，标化饮酒率为55.4%；女性饮酒率为11.7%，标化饮酒率为13.8%。女性显著低于男性，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3.膳食情况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（1）家庭人均每日食盐、烹调油摄入情况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相城区居民平均每人每天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盐摄入量为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5.8g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其中，男性平均每人每天盐摄入量约6.2g，女性平均每人每天盐摄入量约5.5g，略高于《中国居民膳食指南（2022））》推荐量。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相城区居民平均每人每天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烹调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约26.5g。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其中，男性平均每人每天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烹调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用量约26.3g，女性平均每人每天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烹调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用量约26.9g，符合《中国居民膳食指南（2022））》推荐量。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（2）蔬菜和水果摄入情况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8191个调查对象中，蔬菜食用率为99.8%，标化率为99.9%。通常一个月食用蔬菜0-3次占比1.8%；通常一周食用蔬菜1-6次占比22.3%；通常每天食用1次及以上占比75.7%。水果食用率为96.9%，标化率为97.5%。通常一个月食用水果0-3次占比12.0%；通常一周食用水果1-6次占比56.3%；通常每天食用1次及以上占比28.6%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（3）奶制品摄入情况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在8191名调查对象中，奶制品食用率为77.9%，标化率为80.8%。通常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个月食用奶制品0-3次占比17.6%；通常一周食用奶制品1-6次占比41.3%；通常每天食用1次及以上占比19.0%。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（4）豆制品摄入情况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在8191名调查对象中，豆制品食用率为93.9%，标化率为93.9%。通常一个月食用豆制品0-3次占比26.0%；通常一周食用豆制品1-6次占比64.6%；通常每天食用豆制品1次及以上占比3.3%。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身体活动因素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相城区居民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过去六个月参加体育锻炼或运动的频率每周1-2天占比为26.12%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每周3-5天占比为35.43%；每周6天及以上占比为38.45%。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相城区居民通常一天内的累计睡眠时长为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6.98小时/天</w:t>
      </w:r>
      <w:r>
        <w:rPr>
          <w:rFonts w:hint="eastAsia" w:ascii="仿宋_GB2312" w:hAnsi="仿宋_GB2312" w:eastAsia="仿宋_GB2312" w:cs="仿宋_GB2312"/>
          <w:sz w:val="32"/>
          <w:szCs w:val="32"/>
        </w:rPr>
        <w:t>，其中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男性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7.03小时/天</w:t>
      </w:r>
      <w:r>
        <w:rPr>
          <w:rFonts w:hint="eastAsia" w:ascii="仿宋_GB2312" w:hAnsi="仿宋_GB2312" w:eastAsia="仿宋_GB2312" w:cs="仿宋_GB2312"/>
          <w:sz w:val="32"/>
          <w:szCs w:val="32"/>
        </w:rPr>
        <w:t>，女性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6.92小时/天</w:t>
      </w:r>
      <w:r>
        <w:rPr>
          <w:rFonts w:hint="eastAsia" w:ascii="仿宋_GB2312" w:hAnsi="仿宋_GB2312" w:eastAsia="仿宋_GB2312" w:cs="仿宋_GB2312"/>
          <w:sz w:val="32"/>
          <w:szCs w:val="32"/>
        </w:rPr>
        <w:t>。通常一天内的累计静态行为的时长为（不包括睡眠时长）为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4.11小时/天</w:t>
      </w:r>
      <w:r>
        <w:rPr>
          <w:rFonts w:hint="eastAsia" w:ascii="仿宋_GB2312" w:hAnsi="仿宋_GB2312" w:eastAsia="仿宋_GB2312" w:cs="仿宋_GB2312"/>
          <w:sz w:val="32"/>
          <w:szCs w:val="32"/>
        </w:rPr>
        <w:t>，其中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男性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4.26小时/天</w:t>
      </w:r>
      <w:r>
        <w:rPr>
          <w:rFonts w:hint="eastAsia" w:ascii="仿宋_GB2312" w:hAnsi="仿宋_GB2312" w:eastAsia="仿宋_GB2312" w:cs="仿宋_GB2312"/>
          <w:sz w:val="32"/>
          <w:szCs w:val="32"/>
        </w:rPr>
        <w:t>，女性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3.94小时/天</w:t>
      </w:r>
      <w:r>
        <w:rPr>
          <w:rFonts w:hint="eastAsia" w:ascii="仿宋_GB2312" w:hAnsi="仿宋_GB2312" w:eastAsia="仿宋_GB2312" w:cs="仿宋_GB2312"/>
          <w:sz w:val="32"/>
          <w:szCs w:val="32"/>
        </w:rPr>
        <w:t>。47.72 %的居民认为自己在过去六个月的睡眠质量好，44.34%认为自己睡眠质量一般，还有7.94%认为自己睡眠质量差。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ar"/>
        </w:rPr>
        <w:t>六、整体结论及防控策略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"/>
        </w:rPr>
        <w:t>（一）结论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近年来，相城区按照国家、省、市关于慢性病防控相关策以及工作要求，积极部署综合防控各项措施，建立健全慢病监测、管理体系和工作制度，开展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重大慢性病</w:t>
      </w:r>
      <w:r>
        <w:rPr>
          <w:rFonts w:hint="eastAsia" w:ascii="仿宋_GB2312" w:hAnsi="仿宋_GB2312" w:eastAsia="仿宋_GB2312" w:cs="仿宋_GB2312"/>
          <w:sz w:val="32"/>
          <w:szCs w:val="32"/>
        </w:rPr>
        <w:t>筛查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和干预工作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推进</w:t>
      </w:r>
      <w:r>
        <w:rPr>
          <w:rFonts w:hint="eastAsia" w:ascii="仿宋_GB2312" w:hAnsi="仿宋_GB2312" w:eastAsia="仿宋_GB2312" w:cs="仿宋_GB2312"/>
          <w:sz w:val="32"/>
          <w:szCs w:val="32"/>
        </w:rPr>
        <w:t>全民健康生活方式行动，初步建立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“政府主导、多部门合作、专业机构支持、全社会参与”的慢性病综合防控工作模式。全区居民健康素养水平逐年提升，健康意识不断增强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同时也应清醒认识到，心脑血管疾病、恶性肿瘤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仍</w:t>
      </w:r>
      <w:r>
        <w:rPr>
          <w:rFonts w:hint="eastAsia" w:ascii="仿宋_GB2312" w:hAnsi="仿宋_GB2312" w:eastAsia="仿宋_GB2312" w:cs="仿宋_GB2312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辖区</w:t>
      </w:r>
      <w:r>
        <w:rPr>
          <w:rFonts w:hint="eastAsia" w:ascii="仿宋_GB2312" w:hAnsi="仿宋_GB2312" w:eastAsia="仿宋_GB2312" w:cs="仿宋_GB2312"/>
          <w:sz w:val="32"/>
          <w:szCs w:val="32"/>
        </w:rPr>
        <w:t>居民主要死因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疾病</w:t>
      </w:r>
      <w:r>
        <w:rPr>
          <w:rFonts w:hint="eastAsia" w:ascii="仿宋_GB2312" w:hAnsi="仿宋_GB2312" w:eastAsia="仿宋_GB2312" w:cs="仿宋_GB2312"/>
          <w:sz w:val="32"/>
          <w:szCs w:val="32"/>
        </w:rPr>
        <w:t>，高血压、糖尿病、血脂异常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骨质疏松症</w:t>
      </w:r>
      <w:r>
        <w:rPr>
          <w:rFonts w:hint="eastAsia" w:ascii="仿宋_GB2312" w:hAnsi="仿宋_GB2312" w:eastAsia="仿宋_GB2312" w:cs="仿宋_GB2312"/>
          <w:sz w:val="32"/>
          <w:szCs w:val="32"/>
        </w:rPr>
        <w:t>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目前影响辖区</w:t>
      </w:r>
      <w:r>
        <w:rPr>
          <w:rFonts w:hint="eastAsia" w:ascii="仿宋_GB2312" w:hAnsi="仿宋_GB2312" w:eastAsia="仿宋_GB2312" w:cs="仿宋_GB2312"/>
          <w:sz w:val="32"/>
          <w:szCs w:val="32"/>
        </w:rPr>
        <w:t>居民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健康的</w:t>
      </w:r>
      <w:r>
        <w:rPr>
          <w:rFonts w:hint="eastAsia" w:ascii="仿宋_GB2312" w:hAnsi="仿宋_GB2312" w:eastAsia="仿宋_GB2312" w:cs="仿宋_GB2312"/>
          <w:sz w:val="32"/>
          <w:szCs w:val="32"/>
        </w:rPr>
        <w:t>常见慢性病，吸烟、饮酒、油盐摄入过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多</w:t>
      </w:r>
      <w:r>
        <w:rPr>
          <w:rFonts w:hint="eastAsia" w:ascii="仿宋_GB2312" w:hAnsi="仿宋_GB2312" w:eastAsia="仿宋_GB2312" w:cs="仿宋_GB2312"/>
          <w:sz w:val="32"/>
          <w:szCs w:val="32"/>
        </w:rPr>
        <w:t>、运动时间不足等不良生活方式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还</w:t>
      </w:r>
      <w:r>
        <w:rPr>
          <w:rFonts w:hint="eastAsia" w:ascii="仿宋_GB2312" w:hAnsi="仿宋_GB2312" w:eastAsia="仿宋_GB2312" w:cs="仿宋_GB2312"/>
          <w:sz w:val="32"/>
          <w:szCs w:val="32"/>
        </w:rPr>
        <w:t>是影响居民健康的重要危险因素。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"/>
        </w:rPr>
        <w:t>（二）防控策略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慢性病病因复杂，潜伏期长，病程长，往往伴有严重并发症，死亡率高，经济负担重，并且在近年来呈现年轻化趋势，严重危害人群健康，是重大的公共卫生问题。在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今后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工作中，应当注意顺应人口老龄化趋势，针对老年人口的特点，制定相应的管理方案和健康教育宣传手段；加强低年龄组人群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有慢性病家族史的人群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定期组织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体检和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重点慢性非传染性疾病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筛查工作；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不断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提高全人群健康素养，普及全民健康生活方式的重要性。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.完善慢性病防控的政策环境，引导全社会广泛参与到慢性病防控工作中。均衡布局区域医疗卫生资源，建设紧密型医联体。促进与优质医疗资源深度融合统筹共建，带动提升区域医疗机构诊疗水平。提升基层卫生健康治理体系和治理能力，不断强化区域医疗卫生资源统筹和布局优化。发展壮大医疗卫生人才队伍，改革完善医疗卫生体系运行保障机制，创新医防融合机制，全面提升群众医疗服务和卫生健康获得感、满足感、幸福感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3.发挥创建国家级慢性病综合防控示范区效应，巩固“政府主导、部门协作、动员社会、全民参与”的机制，以全民健康生活方式综合干预为重点，以控制高血压、糖尿病、循环系统疾病、恶性肿瘤等慢性病为突破口，以合理膳食、适量运动、戒烟限酒、心理平衡为基石，提高全民参与意识，倡导每个人都是自己健康的第一责任人，持续提升全区居民健康水平。</w:t>
      </w:r>
    </w:p>
    <w:sectPr>
      <w:footerReference r:id="rId3" w:type="default"/>
      <w:pgSz w:w="11906" w:h="16838"/>
      <w:pgMar w:top="204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8CEB8F-0048-4131-8AD4-DF319D690B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07917BC-F231-4747-8EC0-FE7299C0C31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49205AB-DC3A-44B9-A414-417F35D196B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88C6A8D-EAB4-4165-A443-104F5BF1F53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EDD205"/>
    <w:multiLevelType w:val="singleLevel"/>
    <w:tmpl w:val="19EDD205"/>
    <w:lvl w:ilvl="0" w:tentative="0">
      <w:start w:val="5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0Mjk3OWEyY2Q3ZmJlZWYzZDc2YWI1ZDFmMTdmZTEifQ=="/>
  </w:docVars>
  <w:rsids>
    <w:rsidRoot w:val="689C3964"/>
    <w:rsid w:val="006C22C1"/>
    <w:rsid w:val="00726300"/>
    <w:rsid w:val="007F27CB"/>
    <w:rsid w:val="01415CD2"/>
    <w:rsid w:val="02023253"/>
    <w:rsid w:val="02295572"/>
    <w:rsid w:val="045A77D7"/>
    <w:rsid w:val="04A03396"/>
    <w:rsid w:val="060B5A0F"/>
    <w:rsid w:val="072530ED"/>
    <w:rsid w:val="07634BF4"/>
    <w:rsid w:val="0A2543E3"/>
    <w:rsid w:val="0A990380"/>
    <w:rsid w:val="0AA2475D"/>
    <w:rsid w:val="0B91772D"/>
    <w:rsid w:val="0BE65DF4"/>
    <w:rsid w:val="0BEB7E64"/>
    <w:rsid w:val="0C0730C0"/>
    <w:rsid w:val="0C28640C"/>
    <w:rsid w:val="0CBA3508"/>
    <w:rsid w:val="0D5154EF"/>
    <w:rsid w:val="0EEF4FBF"/>
    <w:rsid w:val="0F59493E"/>
    <w:rsid w:val="0F892734"/>
    <w:rsid w:val="0FA1450C"/>
    <w:rsid w:val="0FFC192E"/>
    <w:rsid w:val="1179791C"/>
    <w:rsid w:val="11A77DD3"/>
    <w:rsid w:val="11D8260C"/>
    <w:rsid w:val="12A002F3"/>
    <w:rsid w:val="156A5CF7"/>
    <w:rsid w:val="15C6163C"/>
    <w:rsid w:val="15EA64E1"/>
    <w:rsid w:val="167F1A9D"/>
    <w:rsid w:val="16A11295"/>
    <w:rsid w:val="17E56F60"/>
    <w:rsid w:val="18294DA3"/>
    <w:rsid w:val="1A524F0F"/>
    <w:rsid w:val="1ADA3A2E"/>
    <w:rsid w:val="1CD35F20"/>
    <w:rsid w:val="1D1D719C"/>
    <w:rsid w:val="1D61177E"/>
    <w:rsid w:val="1DBB0E8E"/>
    <w:rsid w:val="1E0D5462"/>
    <w:rsid w:val="1E965458"/>
    <w:rsid w:val="228B7D11"/>
    <w:rsid w:val="2460453E"/>
    <w:rsid w:val="248201E2"/>
    <w:rsid w:val="24AF4B7D"/>
    <w:rsid w:val="252743A8"/>
    <w:rsid w:val="255D0A7D"/>
    <w:rsid w:val="264404B1"/>
    <w:rsid w:val="270637D4"/>
    <w:rsid w:val="2AF92FF6"/>
    <w:rsid w:val="2B1D29CD"/>
    <w:rsid w:val="2BBF5FEE"/>
    <w:rsid w:val="2C12522E"/>
    <w:rsid w:val="2D391DD0"/>
    <w:rsid w:val="2D636E4D"/>
    <w:rsid w:val="2D6775E7"/>
    <w:rsid w:val="2EF70A5E"/>
    <w:rsid w:val="2F204FF5"/>
    <w:rsid w:val="30986E0D"/>
    <w:rsid w:val="313B3F3B"/>
    <w:rsid w:val="342F7A89"/>
    <w:rsid w:val="348A3053"/>
    <w:rsid w:val="349D3DCB"/>
    <w:rsid w:val="37114C9C"/>
    <w:rsid w:val="371F3B18"/>
    <w:rsid w:val="37BF1123"/>
    <w:rsid w:val="3A0C64D6"/>
    <w:rsid w:val="3A3E4582"/>
    <w:rsid w:val="3AE25855"/>
    <w:rsid w:val="3CDF0B2A"/>
    <w:rsid w:val="3DA52B6A"/>
    <w:rsid w:val="3E6B3DB3"/>
    <w:rsid w:val="3EDB6DAD"/>
    <w:rsid w:val="3F1D6DC9"/>
    <w:rsid w:val="3F544847"/>
    <w:rsid w:val="40226F0D"/>
    <w:rsid w:val="410F6C78"/>
    <w:rsid w:val="418F7DB9"/>
    <w:rsid w:val="427737EE"/>
    <w:rsid w:val="42EF6D61"/>
    <w:rsid w:val="43686B13"/>
    <w:rsid w:val="43701D91"/>
    <w:rsid w:val="44BF6C07"/>
    <w:rsid w:val="459E4F33"/>
    <w:rsid w:val="46162856"/>
    <w:rsid w:val="4669775D"/>
    <w:rsid w:val="47D07FF7"/>
    <w:rsid w:val="48BC7DD3"/>
    <w:rsid w:val="490C73F1"/>
    <w:rsid w:val="4A4060F4"/>
    <w:rsid w:val="4AE86A54"/>
    <w:rsid w:val="4B337A07"/>
    <w:rsid w:val="4B4A7B64"/>
    <w:rsid w:val="4C211F55"/>
    <w:rsid w:val="4DA873D3"/>
    <w:rsid w:val="4DFF4545"/>
    <w:rsid w:val="4EC5306C"/>
    <w:rsid w:val="4ECC61A8"/>
    <w:rsid w:val="501740F2"/>
    <w:rsid w:val="515079B8"/>
    <w:rsid w:val="51BE183E"/>
    <w:rsid w:val="52F2445B"/>
    <w:rsid w:val="54E33CDB"/>
    <w:rsid w:val="54ED44E0"/>
    <w:rsid w:val="55823A64"/>
    <w:rsid w:val="5592042C"/>
    <w:rsid w:val="58BF6D7E"/>
    <w:rsid w:val="593E0A31"/>
    <w:rsid w:val="5A541B34"/>
    <w:rsid w:val="5A767910"/>
    <w:rsid w:val="5C7335D3"/>
    <w:rsid w:val="5D170F36"/>
    <w:rsid w:val="5E057BE4"/>
    <w:rsid w:val="5E5C6981"/>
    <w:rsid w:val="5EA02776"/>
    <w:rsid w:val="62841201"/>
    <w:rsid w:val="62BF00A6"/>
    <w:rsid w:val="63C62DD9"/>
    <w:rsid w:val="6410048D"/>
    <w:rsid w:val="65905D2A"/>
    <w:rsid w:val="65B57054"/>
    <w:rsid w:val="66204186"/>
    <w:rsid w:val="66455D2D"/>
    <w:rsid w:val="66A448E2"/>
    <w:rsid w:val="66CB4B3F"/>
    <w:rsid w:val="67236729"/>
    <w:rsid w:val="689C3964"/>
    <w:rsid w:val="69130426"/>
    <w:rsid w:val="69B82081"/>
    <w:rsid w:val="69E367A2"/>
    <w:rsid w:val="6AAD603E"/>
    <w:rsid w:val="6B7C7E8A"/>
    <w:rsid w:val="6BB81B36"/>
    <w:rsid w:val="6C21592D"/>
    <w:rsid w:val="6C2C6080"/>
    <w:rsid w:val="6CE95092"/>
    <w:rsid w:val="6E11552E"/>
    <w:rsid w:val="6E7361E8"/>
    <w:rsid w:val="6F563B40"/>
    <w:rsid w:val="6FC7631B"/>
    <w:rsid w:val="6FC85B74"/>
    <w:rsid w:val="6FC96806"/>
    <w:rsid w:val="70447E3C"/>
    <w:rsid w:val="7052124D"/>
    <w:rsid w:val="707149AA"/>
    <w:rsid w:val="71A36EE5"/>
    <w:rsid w:val="71AF5789"/>
    <w:rsid w:val="71DE1BCB"/>
    <w:rsid w:val="72127AC6"/>
    <w:rsid w:val="72B15531"/>
    <w:rsid w:val="72B72541"/>
    <w:rsid w:val="72E868E1"/>
    <w:rsid w:val="733777E5"/>
    <w:rsid w:val="73EF00BF"/>
    <w:rsid w:val="749E03F2"/>
    <w:rsid w:val="75287D2D"/>
    <w:rsid w:val="757711EC"/>
    <w:rsid w:val="76522B87"/>
    <w:rsid w:val="766373F7"/>
    <w:rsid w:val="78550B21"/>
    <w:rsid w:val="787A25D6"/>
    <w:rsid w:val="78DC6026"/>
    <w:rsid w:val="78F9553C"/>
    <w:rsid w:val="79D73ACF"/>
    <w:rsid w:val="79E166FC"/>
    <w:rsid w:val="7C2D3E7B"/>
    <w:rsid w:val="7D05105F"/>
    <w:rsid w:val="7DE92023"/>
    <w:rsid w:val="7E2117BD"/>
    <w:rsid w:val="7EA70B48"/>
    <w:rsid w:val="7EBB576E"/>
    <w:rsid w:val="7F9A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qFormat/>
    <w:uiPriority w:val="0"/>
    <w:pPr>
      <w:spacing w:before="480" w:after="120" w:line="360" w:lineRule="auto"/>
      <w:jc w:val="left"/>
      <w:outlineLvl w:val="1"/>
    </w:pPr>
    <w:rPr>
      <w:rFonts w:ascii="Times New Roman" w:hAnsi="Times New Roman" w:cs="Times New Roman"/>
      <w:b/>
      <w:kern w:val="0"/>
      <w:sz w:val="30"/>
      <w:szCs w:val="28"/>
    </w:rPr>
  </w:style>
  <w:style w:type="paragraph" w:styleId="4">
    <w:name w:val="heading 3"/>
    <w:basedOn w:val="1"/>
    <w:next w:val="1"/>
    <w:autoRedefine/>
    <w:qFormat/>
    <w:uiPriority w:val="0"/>
    <w:pPr>
      <w:spacing w:before="100" w:beforeAutospacing="1" w:after="100" w:afterAutospacing="1" w:line="360" w:lineRule="auto"/>
      <w:jc w:val="left"/>
      <w:outlineLvl w:val="2"/>
    </w:pPr>
    <w:rPr>
      <w:rFonts w:ascii="Times New Roman" w:hAnsi="Times New Roman" w:cs="Times New Roman"/>
      <w:b/>
      <w:kern w:val="0"/>
      <w:sz w:val="24"/>
      <w:szCs w:val="27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autoRedefine/>
    <w:qFormat/>
    <w:uiPriority w:val="0"/>
    <w:pPr>
      <w:ind w:firstLine="425"/>
    </w:pPr>
    <w:rPr>
      <w:rFonts w:ascii="Times New Roman" w:hAnsi="Times New Roman"/>
      <w:szCs w:val="22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autoRedefine/>
    <w:qFormat/>
    <w:uiPriority w:val="39"/>
    <w:rPr>
      <w:rFonts w:ascii="等线" w:hAnsi="等线" w:eastAsia="等线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Emphasis"/>
    <w:basedOn w:val="11"/>
    <w:autoRedefine/>
    <w:qFormat/>
    <w:uiPriority w:val="0"/>
    <w:rPr>
      <w:i/>
    </w:rPr>
  </w:style>
  <w:style w:type="character" w:styleId="14">
    <w:name w:val="Hyperlink"/>
    <w:basedOn w:val="11"/>
    <w:autoRedefine/>
    <w:qFormat/>
    <w:uiPriority w:val="0"/>
    <w:rPr>
      <w:color w:val="0000FF"/>
      <w:u w:val="singl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6">
    <w:name w:val="font21"/>
    <w:basedOn w:val="11"/>
    <w:autoRedefine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2024-01-16T01:36:00Z</dcterms:created>
  <dc:creator>毛赟</dc:creator>
  <cp:lastModifiedBy>attenzzz</cp:lastModifiedBy>
  <cp:lastPrinted>2024-01-29T02:08:18Z</cp:lastPrinted>
  <dcterms:modified xsi:type="dcterms:W3CDTF">2024-01-29T02:08:24Z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C3E8F3F5C3824FD69667BF460C1B8E79_13</vt:lpwstr>
  </property>
</Properties>
</file>