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14CEF6">
      <w:pPr>
        <w:spacing w:line="0" w:lineRule="atLeast"/>
        <w:jc w:val="center"/>
        <w:rPr>
          <w:rFonts w:hint="eastAsia" w:ascii="仿宋" w:hAnsi="仿宋" w:eastAsia="仿宋" w:cs="仿宋"/>
          <w:snapToGrid w:val="0"/>
          <w:kern w:val="2"/>
          <w:sz w:val="36"/>
          <w:szCs w:val="36"/>
          <w:lang w:eastAsia="zh-CN"/>
        </w:rPr>
      </w:pPr>
    </w:p>
    <w:p w14:paraId="601657D6">
      <w:pPr>
        <w:spacing w:line="0" w:lineRule="atLeast"/>
        <w:jc w:val="center"/>
        <w:rPr>
          <w:rFonts w:hint="eastAsia" w:ascii="仿宋" w:hAnsi="仿宋" w:eastAsia="仿宋" w:cs="仿宋"/>
          <w:snapToGrid w:val="0"/>
          <w:kern w:val="2"/>
          <w:sz w:val="44"/>
          <w:szCs w:val="44"/>
          <w:lang w:eastAsia="zh-CN"/>
        </w:rPr>
      </w:pPr>
    </w:p>
    <w:p w14:paraId="622B8937">
      <w:pPr>
        <w:spacing w:line="0" w:lineRule="atLeast"/>
        <w:jc w:val="center"/>
        <w:rPr>
          <w:rFonts w:hint="eastAsia" w:ascii="仿宋" w:hAnsi="仿宋" w:eastAsia="仿宋" w:cs="仿宋"/>
          <w:snapToGrid w:val="0"/>
          <w:kern w:val="2"/>
          <w:sz w:val="44"/>
          <w:szCs w:val="44"/>
          <w:lang w:eastAsia="zh-CN"/>
        </w:rPr>
      </w:pPr>
    </w:p>
    <w:p w14:paraId="7B228AF4">
      <w:pPr>
        <w:jc w:val="center"/>
        <w:rPr>
          <w:rFonts w:hint="eastAsia" w:ascii="仿宋" w:hAnsi="仿宋" w:eastAsia="仿宋" w:cs="仿宋"/>
          <w:b/>
          <w:snapToGrid w:val="0"/>
          <w:kern w:val="2"/>
          <w:sz w:val="48"/>
          <w:szCs w:val="48"/>
          <w:lang w:eastAsia="zh-CN"/>
        </w:rPr>
      </w:pPr>
      <w:r>
        <w:rPr>
          <w:rFonts w:hint="eastAsia" w:ascii="仿宋" w:hAnsi="仿宋" w:eastAsia="仿宋" w:cs="仿宋"/>
          <w:b/>
          <w:snapToGrid w:val="0"/>
          <w:kern w:val="2"/>
          <w:sz w:val="48"/>
          <w:szCs w:val="48"/>
          <w:lang w:eastAsia="zh-CN"/>
        </w:rPr>
        <w:t>专项债券项目绩效自评价报告</w:t>
      </w:r>
    </w:p>
    <w:p w14:paraId="555E93CD">
      <w:pPr>
        <w:jc w:val="center"/>
        <w:rPr>
          <w:rFonts w:hint="eastAsia" w:ascii="仿宋" w:hAnsi="仿宋" w:eastAsia="仿宋" w:cs="仿宋"/>
          <w:snapToGrid w:val="0"/>
          <w:kern w:val="2"/>
          <w:sz w:val="36"/>
          <w:szCs w:val="36"/>
          <w:lang w:eastAsia="zh-CN"/>
        </w:rPr>
      </w:pPr>
      <w:r>
        <w:rPr>
          <w:rFonts w:hint="eastAsia" w:ascii="仿宋" w:hAnsi="仿宋" w:eastAsia="仿宋" w:cs="仿宋"/>
          <w:snapToGrid w:val="0"/>
          <w:kern w:val="2"/>
          <w:sz w:val="36"/>
          <w:szCs w:val="36"/>
          <w:lang w:eastAsia="zh-CN"/>
        </w:rPr>
        <w:t>(2024年度)</w:t>
      </w:r>
    </w:p>
    <w:p w14:paraId="6BB2ECED">
      <w:pPr>
        <w:jc w:val="center"/>
        <w:rPr>
          <w:rFonts w:hint="eastAsia" w:ascii="仿宋" w:hAnsi="仿宋" w:eastAsia="仿宋" w:cs="仿宋"/>
          <w:snapToGrid w:val="0"/>
          <w:kern w:val="2"/>
          <w:sz w:val="32"/>
          <w:szCs w:val="32"/>
          <w:lang w:eastAsia="zh-CN"/>
        </w:rPr>
      </w:pPr>
    </w:p>
    <w:p w14:paraId="4885745C">
      <w:pPr>
        <w:jc w:val="center"/>
        <w:rPr>
          <w:rFonts w:hint="eastAsia" w:ascii="仿宋" w:hAnsi="仿宋" w:eastAsia="仿宋" w:cs="仿宋"/>
          <w:snapToGrid w:val="0"/>
          <w:kern w:val="2"/>
          <w:sz w:val="32"/>
          <w:szCs w:val="32"/>
          <w:lang w:eastAsia="zh-CN"/>
        </w:rPr>
      </w:pPr>
    </w:p>
    <w:p w14:paraId="15D25025">
      <w:pPr>
        <w:jc w:val="center"/>
        <w:rPr>
          <w:rFonts w:hint="eastAsia" w:ascii="仿宋" w:hAnsi="仿宋" w:eastAsia="仿宋" w:cs="仿宋"/>
          <w:snapToGrid w:val="0"/>
          <w:kern w:val="2"/>
          <w:sz w:val="32"/>
          <w:szCs w:val="32"/>
          <w:lang w:eastAsia="zh-CN"/>
        </w:rPr>
      </w:pPr>
    </w:p>
    <w:p w14:paraId="7DEF2AD7">
      <w:pPr>
        <w:jc w:val="center"/>
        <w:rPr>
          <w:rFonts w:hint="eastAsia" w:ascii="仿宋" w:hAnsi="仿宋" w:eastAsia="仿宋" w:cs="仿宋"/>
          <w:snapToGrid w:val="0"/>
          <w:kern w:val="2"/>
          <w:sz w:val="32"/>
          <w:szCs w:val="32"/>
          <w:lang w:eastAsia="zh-CN"/>
        </w:rPr>
      </w:pPr>
    </w:p>
    <w:p w14:paraId="31C516F4">
      <w:pPr>
        <w:jc w:val="center"/>
        <w:rPr>
          <w:rFonts w:hint="eastAsia" w:ascii="仿宋" w:hAnsi="仿宋" w:eastAsia="仿宋" w:cs="仿宋"/>
          <w:snapToGrid w:val="0"/>
          <w:kern w:val="2"/>
          <w:sz w:val="32"/>
          <w:szCs w:val="32"/>
          <w:lang w:eastAsia="zh-CN"/>
        </w:rPr>
      </w:pPr>
    </w:p>
    <w:p w14:paraId="3A6E975B">
      <w:pPr>
        <w:jc w:val="center"/>
        <w:rPr>
          <w:rFonts w:hint="eastAsia" w:ascii="仿宋" w:hAnsi="仿宋" w:eastAsia="仿宋" w:cs="仿宋"/>
          <w:snapToGrid w:val="0"/>
          <w:kern w:val="2"/>
          <w:sz w:val="32"/>
          <w:szCs w:val="32"/>
          <w:lang w:eastAsia="zh-CN"/>
        </w:rPr>
      </w:pPr>
    </w:p>
    <w:p w14:paraId="2B5CF215">
      <w:pPr>
        <w:jc w:val="center"/>
        <w:rPr>
          <w:rFonts w:hint="eastAsia" w:ascii="仿宋" w:hAnsi="仿宋" w:eastAsia="仿宋" w:cs="仿宋"/>
          <w:snapToGrid w:val="0"/>
          <w:kern w:val="2"/>
          <w:sz w:val="32"/>
          <w:szCs w:val="32"/>
          <w:lang w:eastAsia="zh-CN"/>
        </w:rPr>
      </w:pPr>
    </w:p>
    <w:p w14:paraId="6443AA40">
      <w:pPr>
        <w:jc w:val="center"/>
        <w:rPr>
          <w:rFonts w:hint="eastAsia" w:ascii="仿宋" w:hAnsi="仿宋" w:eastAsia="仿宋" w:cs="仿宋"/>
          <w:snapToGrid w:val="0"/>
          <w:kern w:val="2"/>
          <w:sz w:val="32"/>
          <w:szCs w:val="32"/>
          <w:lang w:eastAsia="zh-CN"/>
        </w:rPr>
      </w:pPr>
    </w:p>
    <w:p w14:paraId="65EA5455">
      <w:pPr>
        <w:jc w:val="center"/>
        <w:rPr>
          <w:rFonts w:hint="eastAsia" w:ascii="仿宋" w:hAnsi="仿宋" w:eastAsia="仿宋" w:cs="仿宋"/>
          <w:snapToGrid w:val="0"/>
          <w:kern w:val="2"/>
          <w:sz w:val="32"/>
          <w:szCs w:val="32"/>
          <w:lang w:eastAsia="zh-CN"/>
        </w:rPr>
      </w:pPr>
    </w:p>
    <w:p w14:paraId="7CB83CFA">
      <w:pPr>
        <w:jc w:val="center"/>
        <w:rPr>
          <w:rFonts w:hint="eastAsia" w:ascii="仿宋" w:hAnsi="仿宋" w:eastAsia="仿宋" w:cs="仿宋"/>
          <w:snapToGrid w:val="0"/>
          <w:kern w:val="2"/>
          <w:sz w:val="32"/>
          <w:szCs w:val="32"/>
          <w:lang w:eastAsia="zh-CN"/>
        </w:rPr>
      </w:pPr>
    </w:p>
    <w:p w14:paraId="26771CF1">
      <w:pPr>
        <w:jc w:val="center"/>
        <w:rPr>
          <w:rFonts w:hint="eastAsia" w:ascii="仿宋" w:hAnsi="仿宋" w:eastAsia="仿宋" w:cs="仿宋"/>
          <w:snapToGrid w:val="0"/>
          <w:kern w:val="2"/>
          <w:sz w:val="32"/>
          <w:szCs w:val="32"/>
          <w:lang w:eastAsia="zh-CN"/>
        </w:rPr>
      </w:pPr>
    </w:p>
    <w:p w14:paraId="5E585176">
      <w:pPr>
        <w:jc w:val="center"/>
        <w:rPr>
          <w:rFonts w:hint="eastAsia" w:ascii="仿宋" w:hAnsi="仿宋" w:eastAsia="仿宋" w:cs="仿宋"/>
          <w:snapToGrid w:val="0"/>
          <w:kern w:val="2"/>
          <w:sz w:val="32"/>
          <w:szCs w:val="32"/>
          <w:lang w:eastAsia="zh-CN"/>
        </w:rPr>
      </w:pPr>
    </w:p>
    <w:p w14:paraId="03644DDD">
      <w:pPr>
        <w:jc w:val="center"/>
        <w:rPr>
          <w:rFonts w:hint="eastAsia" w:ascii="仿宋" w:hAnsi="仿宋" w:eastAsia="仿宋" w:cs="仿宋"/>
          <w:snapToGrid w:val="0"/>
          <w:kern w:val="2"/>
          <w:sz w:val="32"/>
          <w:szCs w:val="32"/>
          <w:lang w:eastAsia="zh-CN"/>
        </w:rPr>
      </w:pPr>
    </w:p>
    <w:p w14:paraId="79EEE6FA">
      <w:pPr>
        <w:jc w:val="center"/>
        <w:rPr>
          <w:rFonts w:hint="eastAsia" w:ascii="仿宋" w:hAnsi="仿宋" w:eastAsia="仿宋" w:cs="仿宋"/>
          <w:snapToGrid w:val="0"/>
          <w:kern w:val="2"/>
          <w:sz w:val="32"/>
          <w:szCs w:val="32"/>
          <w:lang w:eastAsia="zh-CN"/>
        </w:rPr>
      </w:pPr>
    </w:p>
    <w:p w14:paraId="3869EC7D">
      <w:pPr>
        <w:jc w:val="center"/>
        <w:rPr>
          <w:rFonts w:hint="eastAsia" w:ascii="仿宋" w:hAnsi="仿宋" w:eastAsia="仿宋" w:cs="仿宋"/>
          <w:snapToGrid w:val="0"/>
          <w:kern w:val="2"/>
          <w:sz w:val="32"/>
          <w:szCs w:val="32"/>
          <w:lang w:eastAsia="zh-CN"/>
        </w:rPr>
      </w:pPr>
    </w:p>
    <w:p w14:paraId="1E68D40E">
      <w:pPr>
        <w:jc w:val="center"/>
        <w:rPr>
          <w:rFonts w:hint="eastAsia" w:ascii="仿宋" w:hAnsi="仿宋" w:eastAsia="仿宋" w:cs="仿宋"/>
          <w:snapToGrid w:val="0"/>
          <w:kern w:val="2"/>
          <w:sz w:val="32"/>
          <w:szCs w:val="32"/>
          <w:lang w:eastAsia="zh-CN"/>
        </w:rPr>
      </w:pPr>
    </w:p>
    <w:p w14:paraId="3D927E91">
      <w:pPr>
        <w:jc w:val="center"/>
        <w:rPr>
          <w:rFonts w:hint="eastAsia" w:ascii="仿宋" w:hAnsi="仿宋" w:eastAsia="仿宋" w:cs="仿宋"/>
          <w:snapToGrid w:val="0"/>
          <w:kern w:val="2"/>
          <w:sz w:val="32"/>
          <w:szCs w:val="32"/>
          <w:lang w:eastAsia="zh-CN"/>
        </w:rPr>
      </w:pP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79"/>
        <w:gridCol w:w="7386"/>
      </w:tblGrid>
      <w:tr w14:paraId="109EA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79" w:type="dxa"/>
            <w:vAlign w:val="center"/>
          </w:tcPr>
          <w:p w14:paraId="6186AC8B">
            <w:pPr>
              <w:spacing w:line="360" w:lineRule="auto"/>
              <w:rPr>
                <w:rFonts w:hint="eastAsia" w:ascii="仿宋" w:hAnsi="仿宋" w:eastAsia="仿宋" w:cs="仿宋"/>
                <w:b/>
                <w:kern w:val="2"/>
                <w:sz w:val="32"/>
                <w:szCs w:val="32"/>
                <w:lang w:eastAsia="zh-CN"/>
              </w:rPr>
            </w:pPr>
            <w:r>
              <w:rPr>
                <w:rFonts w:hint="eastAsia" w:ascii="仿宋" w:hAnsi="仿宋" w:eastAsia="仿宋" w:cs="仿宋"/>
                <w:b/>
                <w:kern w:val="2"/>
                <w:sz w:val="32"/>
                <w:szCs w:val="32"/>
                <w:lang w:eastAsia="zh-CN"/>
              </w:rPr>
              <w:t>项目名称:</w:t>
            </w:r>
          </w:p>
        </w:tc>
        <w:tc>
          <w:tcPr>
            <w:tcW w:w="7386" w:type="dxa"/>
            <w:vAlign w:val="center"/>
          </w:tcPr>
          <w:p w14:paraId="61175DFF">
            <w:pPr>
              <w:spacing w:line="360" w:lineRule="auto"/>
              <w:rPr>
                <w:rFonts w:hint="eastAsia" w:ascii="仿宋" w:hAnsi="仿宋" w:eastAsia="仿宋" w:cs="仿宋"/>
                <w:b/>
                <w:kern w:val="2"/>
                <w:sz w:val="32"/>
                <w:szCs w:val="32"/>
                <w:lang w:eastAsia="zh-CN"/>
              </w:rPr>
            </w:pPr>
            <w:r>
              <w:rPr>
                <w:rFonts w:hint="eastAsia" w:ascii="仿宋" w:hAnsi="仿宋" w:eastAsia="仿宋" w:cs="仿宋"/>
                <w:bCs/>
                <w:kern w:val="2"/>
                <w:sz w:val="32"/>
                <w:szCs w:val="32"/>
                <w:u w:val="single"/>
                <w:lang w:eastAsia="zh-CN"/>
              </w:rPr>
              <w:t>苏州市相城区先进材料创新产业园基础设施项目</w:t>
            </w:r>
          </w:p>
        </w:tc>
      </w:tr>
      <w:tr w14:paraId="7BC75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79" w:type="dxa"/>
            <w:vAlign w:val="center"/>
          </w:tcPr>
          <w:p w14:paraId="084B749A">
            <w:pPr>
              <w:spacing w:line="360" w:lineRule="auto"/>
              <w:rPr>
                <w:rFonts w:hint="eastAsia" w:ascii="仿宋" w:hAnsi="仿宋" w:eastAsia="仿宋" w:cs="仿宋"/>
                <w:b/>
                <w:kern w:val="2"/>
                <w:sz w:val="32"/>
                <w:szCs w:val="32"/>
                <w:lang w:eastAsia="zh-CN"/>
              </w:rPr>
            </w:pPr>
            <w:r>
              <w:rPr>
                <w:rFonts w:hint="eastAsia" w:ascii="仿宋" w:hAnsi="仿宋" w:eastAsia="仿宋" w:cs="仿宋"/>
                <w:b/>
                <w:kern w:val="2"/>
                <w:sz w:val="32"/>
                <w:szCs w:val="32"/>
                <w:lang w:eastAsia="zh-CN"/>
              </w:rPr>
              <w:t>项目单位:</w:t>
            </w:r>
          </w:p>
        </w:tc>
        <w:tc>
          <w:tcPr>
            <w:tcW w:w="7386" w:type="dxa"/>
            <w:vAlign w:val="center"/>
          </w:tcPr>
          <w:p w14:paraId="4E877A27">
            <w:pPr>
              <w:spacing w:line="360" w:lineRule="auto"/>
              <w:rPr>
                <w:rFonts w:hint="eastAsia" w:ascii="仿宋" w:hAnsi="仿宋" w:eastAsia="仿宋" w:cs="仿宋"/>
                <w:b/>
                <w:kern w:val="2"/>
                <w:sz w:val="32"/>
                <w:szCs w:val="32"/>
                <w:lang w:eastAsia="zh-CN"/>
              </w:rPr>
            </w:pPr>
            <w:r>
              <w:rPr>
                <w:rFonts w:hint="eastAsia" w:ascii="仿宋" w:hAnsi="仿宋" w:eastAsia="仿宋" w:cs="仿宋"/>
                <w:bCs/>
                <w:kern w:val="2"/>
                <w:sz w:val="32"/>
                <w:szCs w:val="32"/>
                <w:u w:val="single"/>
                <w:lang w:eastAsia="zh-CN"/>
              </w:rPr>
              <w:t>苏州智汇湾产业投资有限公司</w:t>
            </w:r>
          </w:p>
        </w:tc>
      </w:tr>
      <w:tr w14:paraId="388A8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79" w:type="dxa"/>
            <w:vAlign w:val="center"/>
          </w:tcPr>
          <w:p w14:paraId="6B2FA64F">
            <w:pPr>
              <w:spacing w:line="360" w:lineRule="auto"/>
              <w:rPr>
                <w:rFonts w:hint="eastAsia" w:ascii="仿宋" w:hAnsi="仿宋" w:eastAsia="仿宋" w:cs="仿宋"/>
                <w:b/>
                <w:kern w:val="2"/>
                <w:sz w:val="32"/>
                <w:szCs w:val="32"/>
                <w:lang w:eastAsia="zh-CN"/>
              </w:rPr>
            </w:pPr>
            <w:r>
              <w:rPr>
                <w:rFonts w:hint="eastAsia" w:ascii="仿宋" w:hAnsi="仿宋" w:eastAsia="仿宋" w:cs="仿宋"/>
                <w:b/>
                <w:kern w:val="2"/>
                <w:sz w:val="32"/>
                <w:szCs w:val="32"/>
                <w:lang w:eastAsia="zh-CN"/>
              </w:rPr>
              <w:t>主管部门:</w:t>
            </w:r>
          </w:p>
        </w:tc>
        <w:tc>
          <w:tcPr>
            <w:tcW w:w="7386" w:type="dxa"/>
            <w:vAlign w:val="center"/>
          </w:tcPr>
          <w:p w14:paraId="721D69A3">
            <w:pPr>
              <w:spacing w:line="360" w:lineRule="auto"/>
              <w:rPr>
                <w:rFonts w:hint="eastAsia" w:ascii="仿宋" w:hAnsi="仿宋" w:eastAsia="仿宋" w:cs="仿宋"/>
                <w:b/>
                <w:kern w:val="2"/>
                <w:sz w:val="32"/>
                <w:szCs w:val="32"/>
                <w:lang w:eastAsia="zh-CN"/>
              </w:rPr>
            </w:pPr>
            <w:r>
              <w:rPr>
                <w:rFonts w:hint="eastAsia" w:ascii="仿宋" w:hAnsi="仿宋" w:eastAsia="仿宋" w:cs="仿宋"/>
                <w:bCs/>
                <w:kern w:val="2"/>
                <w:sz w:val="32"/>
                <w:szCs w:val="32"/>
                <w:u w:val="single"/>
                <w:lang w:eastAsia="zh-CN"/>
              </w:rPr>
              <w:t>苏州市相城区科学技术局</w:t>
            </w:r>
          </w:p>
        </w:tc>
      </w:tr>
    </w:tbl>
    <w:p w14:paraId="7E7B0132">
      <w:pPr>
        <w:spacing w:before="2" w:line="574" w:lineRule="exact"/>
        <w:rPr>
          <w:rFonts w:hint="eastAsia" w:ascii="仿宋" w:hAnsi="仿宋" w:eastAsia="仿宋" w:cs="仿宋"/>
          <w:sz w:val="27"/>
          <w:szCs w:val="27"/>
          <w:lang w:eastAsia="zh-CN"/>
        </w:rPr>
      </w:pPr>
    </w:p>
    <w:p w14:paraId="5BC16458">
      <w:pPr>
        <w:spacing w:line="574" w:lineRule="exact"/>
        <w:ind w:firstLine="600" w:firstLineChars="200"/>
        <w:jc w:val="both"/>
        <w:rPr>
          <w:rFonts w:hint="eastAsia" w:ascii="黑体" w:hAnsi="黑体" w:eastAsia="黑体" w:cs="黑体"/>
          <w:sz w:val="30"/>
          <w:szCs w:val="30"/>
          <w:lang w:eastAsia="zh-CN"/>
        </w:rPr>
        <w:sectPr>
          <w:pgSz w:w="11910" w:h="16840"/>
          <w:pgMar w:top="2098" w:right="1474" w:bottom="1984" w:left="1587" w:header="720" w:footer="720" w:gutter="0"/>
          <w:pgNumType w:fmt="decimal" w:start="1"/>
          <w:cols w:space="720" w:num="1"/>
        </w:sectPr>
      </w:pPr>
    </w:p>
    <w:p w14:paraId="173FE7EC">
      <w:pPr>
        <w:spacing w:line="574" w:lineRule="exact"/>
        <w:ind w:firstLine="600" w:firstLineChars="200"/>
        <w:jc w:val="both"/>
        <w:rPr>
          <w:rFonts w:hint="eastAsia" w:ascii="黑体" w:hAnsi="黑体" w:eastAsia="黑体" w:cs="黑体"/>
          <w:sz w:val="30"/>
          <w:szCs w:val="30"/>
          <w:lang w:eastAsia="zh-CN"/>
        </w:rPr>
      </w:pPr>
      <w:r>
        <w:rPr>
          <w:rFonts w:hint="eastAsia" w:ascii="黑体" w:hAnsi="黑体" w:eastAsia="黑体" w:cs="黑体"/>
          <w:sz w:val="30"/>
          <w:szCs w:val="30"/>
          <w:lang w:eastAsia="zh-CN"/>
        </w:rPr>
        <w:t>一、项目情况</w:t>
      </w:r>
    </w:p>
    <w:p w14:paraId="6E8B1FD2">
      <w:pPr>
        <w:spacing w:line="574" w:lineRule="exact"/>
        <w:ind w:firstLine="544" w:firstLineChars="200"/>
        <w:jc w:val="both"/>
        <w:rPr>
          <w:rFonts w:hint="eastAsia" w:ascii="黑体" w:hAnsi="黑体" w:eastAsia="黑体" w:cs="黑体"/>
          <w:spacing w:val="-4"/>
          <w:sz w:val="28"/>
          <w:szCs w:val="28"/>
          <w:lang w:eastAsia="zh-CN"/>
        </w:rPr>
      </w:pPr>
      <w:r>
        <w:rPr>
          <w:rFonts w:hint="eastAsia" w:ascii="黑体" w:hAnsi="黑体" w:eastAsia="黑体" w:cs="黑体"/>
          <w:spacing w:val="-4"/>
          <w:sz w:val="28"/>
          <w:szCs w:val="28"/>
          <w:lang w:eastAsia="zh-CN"/>
        </w:rPr>
        <w:t>（一）项目概况</w:t>
      </w:r>
    </w:p>
    <w:p w14:paraId="414148A4">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为有效带动产业转型升级，推进先进材料产业创新集群加快建设，为经济高质量发展持续提供强劲动能，苏州市相城区提出先进材料创新产业园基础设施项目。</w:t>
      </w:r>
    </w:p>
    <w:p w14:paraId="362F9AC4">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项目位于苏州市相城区黄桥街道安元路以北，S228 以西。本项目占地面积约 715 亩（包括先进材料创新研发基地297 亩、先进材料制造基地 171 亩、道路用地面积 247 亩），具体建设内容包括先进材料创新研发基地、先进材料制造基地、综合管廊、周边道路及桥梁等。涉及总建筑面积约 56 万平方米，道路约 6.6 公里（包括引力湾大道、相士路、尝水路、科源路、储英路、青研路、青发路、展望路），综合管廊约 2.3 公里。同步建设雨污水管网、停车位、充电桩等配套设施。</w:t>
      </w:r>
    </w:p>
    <w:p w14:paraId="7B9483D5">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本项目总投资570,727.44万元，其中：财政预算资金安排170,727.44万元，占比29.91%；发行地方政府专项债券400,000万元，占比70.09%。已于2024年发行1次专项债券，累计已发行金额</w:t>
      </w:r>
      <w:r>
        <w:rPr>
          <w:rFonts w:hint="eastAsia" w:ascii="仿宋" w:hAnsi="仿宋" w:eastAsia="仿宋" w:cs="仿宋"/>
          <w:spacing w:val="-4"/>
          <w:sz w:val="28"/>
          <w:szCs w:val="28"/>
          <w:lang w:val="en-US" w:eastAsia="zh-CN"/>
        </w:rPr>
        <w:t>280</w:t>
      </w:r>
      <w:r>
        <w:rPr>
          <w:rFonts w:hint="eastAsia" w:ascii="仿宋" w:hAnsi="仿宋" w:eastAsia="仿宋" w:cs="仿宋"/>
          <w:spacing w:val="-4"/>
          <w:sz w:val="28"/>
          <w:szCs w:val="28"/>
          <w:lang w:eastAsia="zh-CN"/>
        </w:rPr>
        <w:t>00.00万元，项目已实际使用专项债券总额</w:t>
      </w:r>
      <w:r>
        <w:rPr>
          <w:rFonts w:hint="eastAsia" w:ascii="仿宋" w:hAnsi="仿宋" w:eastAsia="仿宋" w:cs="仿宋"/>
          <w:spacing w:val="-4"/>
          <w:sz w:val="28"/>
          <w:szCs w:val="28"/>
          <w:lang w:val="en-US" w:eastAsia="zh-CN"/>
        </w:rPr>
        <w:t>280</w:t>
      </w:r>
      <w:r>
        <w:rPr>
          <w:rFonts w:hint="eastAsia" w:ascii="仿宋" w:hAnsi="仿宋" w:eastAsia="仿宋" w:cs="仿宋"/>
          <w:spacing w:val="-4"/>
          <w:sz w:val="28"/>
          <w:szCs w:val="28"/>
          <w:lang w:eastAsia="zh-CN"/>
        </w:rPr>
        <w:t>00.00万元。本项目于2023年12月1日开工，预计2026年9月竣工。</w:t>
      </w:r>
    </w:p>
    <w:p w14:paraId="677984B9">
      <w:pPr>
        <w:spacing w:line="574" w:lineRule="exact"/>
        <w:ind w:firstLine="560" w:firstLineChars="200"/>
        <w:jc w:val="both"/>
        <w:rPr>
          <w:rFonts w:hint="eastAsia" w:ascii="黑体" w:hAnsi="黑体" w:eastAsia="黑体" w:cs="黑体"/>
          <w:sz w:val="28"/>
          <w:szCs w:val="28"/>
          <w:lang w:eastAsia="zh-CN"/>
        </w:rPr>
      </w:pPr>
      <w:r>
        <w:rPr>
          <w:rFonts w:hint="eastAsia" w:ascii="黑体" w:hAnsi="黑体" w:eastAsia="黑体" w:cs="黑体"/>
          <w:sz w:val="28"/>
          <w:szCs w:val="28"/>
          <w:lang w:eastAsia="zh-CN"/>
        </w:rPr>
        <w:t>（二）绩效目标</w:t>
      </w:r>
    </w:p>
    <w:p w14:paraId="7810C982">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1、总体目标</w:t>
      </w:r>
    </w:p>
    <w:p w14:paraId="65F32EC2">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贯彻新发展理念，提高技术创新能力，加强产业培育，深化融合应用，打造苏州新材料产业科技成果转化地、新材料产业集聚地。以引入苏州实验室北区为契机，依托具有较强创新实力的科创平台，在新材料领域形成一批原创性成果转化案例，以基础研究带动前沿技术产业化应用，以源头技术带动新产业发展，形成创新驱动发展、发展带动创新的良性循环。本项目旨在集聚一批面向前沿科技领域的高端人才和团队，引培一批具有较强竞争力的新材料领军企业，扩大开放合作，带动产业迈上新台阶，为苏州新材料产业发展注入新的强劲动能。</w:t>
      </w:r>
    </w:p>
    <w:p w14:paraId="75808572">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2、</w:t>
      </w:r>
      <w:bookmarkStart w:id="0" w:name="_GoBack"/>
      <w:bookmarkEnd w:id="0"/>
      <w:r>
        <w:rPr>
          <w:rFonts w:hint="eastAsia" w:ascii="仿宋" w:hAnsi="仿宋" w:eastAsia="仿宋" w:cs="仿宋"/>
          <w:sz w:val="28"/>
          <w:szCs w:val="28"/>
          <w:lang w:eastAsia="zh-CN"/>
        </w:rPr>
        <w:t>年度目标</w:t>
      </w:r>
    </w:p>
    <w:p w14:paraId="18D01ED3">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目标1：工程进度：制造基地A地块桩基工程完成100%，主体施工完成25%；制造基地B地块桩基工程完成100%，主体施工完成20%；引力湾大道以及底下综合管廊完成道路主体工程的5%。</w:t>
      </w:r>
    </w:p>
    <w:p w14:paraId="58970E2E">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目标2：分部分项工程验收合格率100%。</w:t>
      </w:r>
    </w:p>
    <w:p w14:paraId="48E68A1D">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目标3：工期及时完工，工程款及时支付、成本控制情况好。</w:t>
      </w:r>
    </w:p>
    <w:p w14:paraId="058CFEDC">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目标4：安全事故零发生，周边居民投诉处置率100%。</w:t>
      </w:r>
    </w:p>
    <w:p w14:paraId="41C3B9D7">
      <w:pPr>
        <w:spacing w:line="574" w:lineRule="exact"/>
        <w:ind w:firstLine="560" w:firstLineChars="200"/>
        <w:jc w:val="both"/>
        <w:rPr>
          <w:rFonts w:hint="eastAsia" w:ascii="仿宋" w:hAnsi="仿宋" w:eastAsia="仿宋" w:cs="仿宋"/>
          <w:sz w:val="30"/>
          <w:szCs w:val="30"/>
          <w:lang w:eastAsia="zh-CN"/>
        </w:rPr>
      </w:pPr>
      <w:r>
        <w:rPr>
          <w:rFonts w:hint="eastAsia" w:ascii="仿宋" w:hAnsi="仿宋" w:eastAsia="仿宋" w:cs="仿宋"/>
          <w:sz w:val="28"/>
          <w:szCs w:val="28"/>
          <w:lang w:eastAsia="zh-CN"/>
        </w:rPr>
        <w:t>目标5：专项债券资金合理合规使用，资金执行率100%。</w:t>
      </w:r>
    </w:p>
    <w:p w14:paraId="71788826">
      <w:pPr>
        <w:spacing w:line="574" w:lineRule="exact"/>
        <w:ind w:firstLine="600" w:firstLineChars="200"/>
        <w:jc w:val="both"/>
        <w:rPr>
          <w:rFonts w:hint="eastAsia" w:ascii="黑体" w:hAnsi="黑体" w:eastAsia="黑体" w:cs="黑体"/>
          <w:sz w:val="30"/>
          <w:szCs w:val="30"/>
          <w:lang w:eastAsia="zh-CN"/>
        </w:rPr>
      </w:pPr>
      <w:r>
        <w:rPr>
          <w:rFonts w:hint="eastAsia" w:ascii="黑体" w:hAnsi="黑体" w:eastAsia="黑体" w:cs="黑体"/>
          <w:sz w:val="30"/>
          <w:szCs w:val="30"/>
          <w:lang w:eastAsia="zh-CN"/>
        </w:rPr>
        <w:t>二、评价情况</w:t>
      </w:r>
    </w:p>
    <w:p w14:paraId="6DFBA179">
      <w:pPr>
        <w:spacing w:line="574" w:lineRule="exact"/>
        <w:ind w:firstLine="544" w:firstLineChars="200"/>
        <w:jc w:val="both"/>
        <w:rPr>
          <w:rFonts w:hint="eastAsia" w:ascii="黑体" w:hAnsi="黑体" w:eastAsia="黑体" w:cs="黑体"/>
          <w:spacing w:val="-4"/>
          <w:sz w:val="28"/>
          <w:szCs w:val="28"/>
          <w:lang w:eastAsia="zh-CN"/>
        </w:rPr>
      </w:pPr>
      <w:r>
        <w:rPr>
          <w:rFonts w:hint="eastAsia" w:ascii="黑体" w:hAnsi="黑体" w:eastAsia="黑体" w:cs="黑体"/>
          <w:spacing w:val="-4"/>
          <w:sz w:val="28"/>
          <w:szCs w:val="28"/>
          <w:lang w:eastAsia="zh-CN"/>
        </w:rPr>
        <w:t>（一）项目特点分析</w:t>
      </w:r>
    </w:p>
    <w:p w14:paraId="2A59E334">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1、技术与资金密集性</w:t>
      </w:r>
    </w:p>
    <w:p w14:paraId="0327D5C6">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‌工程技术标准高，因涉及苏州实验室北区等规划建设，对土建和内装都提出了较高的技术要求。资金投入较大，项目总投资57 亿元，资金管理难度较大，成本控制要求较高。</w:t>
      </w:r>
    </w:p>
    <w:p w14:paraId="3910AAD6">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2、规模与规划统筹性</w:t>
      </w:r>
    </w:p>
    <w:p w14:paraId="5B765196">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项目占地面积约 715 亩（包括先进材料创新研发基地297 亩、先进材料制造基地 171 亩、道路用地面积 247 亩）形成“研发-制造-配套”全链条布局，覆盖产业全生命周期需求‌。</w:t>
      </w:r>
    </w:p>
    <w:p w14:paraId="6524C633">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3、功能定位精准性</w:t>
      </w:r>
    </w:p>
    <w:p w14:paraId="60029A1F">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先进材料创新研发基地‌聚焦特殊试验、科研行政及生活配套，适配高密度研发需求‌；先进材料制造基地满足制造及多层生产空间要求‌；交通与管廊协同‌。‌</w:t>
      </w:r>
    </w:p>
    <w:p w14:paraId="5EDF8973">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4、建设周期分步推进</w:t>
      </w:r>
    </w:p>
    <w:p w14:paraId="5DE46F2E">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项目建设规模较大，涉及建筑、市政等多个专业，但是建设周期仅3年，土建、内装等各个环节需要高效衔接，分步推进。</w:t>
      </w:r>
    </w:p>
    <w:p w14:paraId="191BE8AC">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5、‌产业生态协同性</w:t>
      </w:r>
    </w:p>
    <w:p w14:paraId="6F418431">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对标区域先进材料产业规划，强调“研发-生产-服务”全链条生态，推动创新企业集聚与人才引入‌。</w:t>
      </w:r>
    </w:p>
    <w:p w14:paraId="5FC895A5">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综上：该项目通过‌大规模集成化规划、高技术标准建设、分阶段资金管控及产业生态协同‌，具备显著的“产城融合”特征。绩效评价需以项目资金管理、组织实施、质量管理、进度管理、成本控制、产出效益及服务对象满意度‌为核心，结合定量指标与定性分析，全面衡量项目对区域经济社会的贡献‌。</w:t>
      </w:r>
    </w:p>
    <w:p w14:paraId="0D5FF62C">
      <w:pPr>
        <w:spacing w:line="574" w:lineRule="exact"/>
        <w:ind w:firstLine="544" w:firstLineChars="200"/>
        <w:jc w:val="both"/>
        <w:rPr>
          <w:rFonts w:hint="eastAsia" w:ascii="黑体" w:hAnsi="黑体" w:eastAsia="黑体" w:cs="黑体"/>
          <w:spacing w:val="-4"/>
          <w:sz w:val="28"/>
          <w:szCs w:val="28"/>
          <w:lang w:eastAsia="zh-CN"/>
        </w:rPr>
      </w:pPr>
      <w:r>
        <w:rPr>
          <w:rFonts w:hint="eastAsia" w:ascii="黑体" w:hAnsi="黑体" w:eastAsia="黑体" w:cs="黑体"/>
          <w:spacing w:val="-4"/>
          <w:sz w:val="28"/>
          <w:szCs w:val="28"/>
          <w:lang w:eastAsia="zh-CN"/>
        </w:rPr>
        <w:t>（二）评价思路方法</w:t>
      </w:r>
    </w:p>
    <w:p w14:paraId="2992AE02">
      <w:pPr>
        <w:spacing w:line="574" w:lineRule="exact"/>
        <w:ind w:firstLine="544" w:firstLineChars="200"/>
        <w:jc w:val="both"/>
        <w:rPr>
          <w:rFonts w:hint="eastAsia" w:ascii="仿宋" w:hAnsi="仿宋" w:eastAsia="仿宋" w:cs="仿宋"/>
          <w:sz w:val="28"/>
          <w:szCs w:val="28"/>
          <w:lang w:eastAsia="zh-CN"/>
        </w:rPr>
      </w:pPr>
      <w:r>
        <w:rPr>
          <w:rFonts w:hint="eastAsia" w:ascii="仿宋" w:hAnsi="仿宋" w:eastAsia="仿宋" w:cs="仿宋"/>
          <w:spacing w:val="-4"/>
          <w:sz w:val="28"/>
          <w:szCs w:val="28"/>
          <w:lang w:eastAsia="zh-CN"/>
        </w:rPr>
        <w:t>项目资金管理评价主要依据遵循财政部关于印发《地方政府专项债券项目资金绩效管理办法》的通知（财预〔2021〕61号）等文件精神，对专项债券资金的使用管理要求设置细化指标、进行管理、考核。本次绩效评价依照“决策-过程-产出-效益”的逻辑路径，采用定量与定性评价相结合的方法，从财政支出专项资金角度对项目绩效进行综合评价，综合分析项目主管单位在项目执行过程中的管理模式、项目成果、社会服务满意度。</w:t>
      </w:r>
    </w:p>
    <w:p w14:paraId="36B3AF66">
      <w:pPr>
        <w:spacing w:line="574" w:lineRule="exact"/>
        <w:ind w:firstLine="544" w:firstLineChars="200"/>
        <w:jc w:val="both"/>
        <w:rPr>
          <w:rFonts w:hint="eastAsia" w:ascii="黑体" w:hAnsi="黑体" w:eastAsia="黑体" w:cs="黑体"/>
          <w:spacing w:val="-4"/>
          <w:sz w:val="28"/>
          <w:szCs w:val="28"/>
          <w:lang w:eastAsia="zh-CN"/>
        </w:rPr>
      </w:pPr>
      <w:r>
        <w:rPr>
          <w:rFonts w:hint="eastAsia" w:ascii="黑体" w:hAnsi="黑体" w:eastAsia="黑体" w:cs="黑体"/>
          <w:spacing w:val="-4"/>
          <w:sz w:val="28"/>
          <w:szCs w:val="28"/>
          <w:lang w:eastAsia="zh-CN"/>
        </w:rPr>
        <w:t>（三）评价工作情况</w:t>
      </w:r>
    </w:p>
    <w:p w14:paraId="33EF4691">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对照设置的考核指标和评分依据逐项进行跟踪评价，评判各项指标实际完成情况。</w:t>
      </w:r>
    </w:p>
    <w:p w14:paraId="31773C0A">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制造基地A地块桩基工程已完成100%，主体施工已完成25%；制造基地B地块桩基工程已完成100%，主体施工已完成20%；引力湾大道以及底下综合管廊已完成道路主体工程的5%。</w:t>
      </w:r>
    </w:p>
    <w:p w14:paraId="59B33002">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分部分项工程验收合格率100%。</w:t>
      </w:r>
    </w:p>
    <w:p w14:paraId="47D75250">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工期及时完工，工程款及时支付、成本控制情况好。</w:t>
      </w:r>
    </w:p>
    <w:p w14:paraId="7F662E41">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安全事故零发生、周边居民投诉处置率100%。</w:t>
      </w:r>
    </w:p>
    <w:p w14:paraId="19C1C2C4">
      <w:pPr>
        <w:spacing w:line="574" w:lineRule="exact"/>
        <w:ind w:firstLine="544" w:firstLineChars="200"/>
        <w:jc w:val="both"/>
        <w:rPr>
          <w:rFonts w:hint="eastAsia" w:ascii="仿宋" w:hAnsi="仿宋" w:eastAsia="仿宋" w:cs="仿宋"/>
          <w:spacing w:val="-4"/>
          <w:sz w:val="28"/>
          <w:szCs w:val="28"/>
          <w:lang w:eastAsia="zh-CN"/>
        </w:rPr>
      </w:pPr>
      <w:r>
        <w:rPr>
          <w:rFonts w:hint="eastAsia" w:ascii="仿宋" w:hAnsi="仿宋" w:eastAsia="仿宋" w:cs="仿宋"/>
          <w:spacing w:val="-4"/>
          <w:sz w:val="28"/>
          <w:szCs w:val="28"/>
          <w:lang w:eastAsia="zh-CN"/>
        </w:rPr>
        <w:t>专项债券资金合理合规使用，资金执行率100%。</w:t>
      </w:r>
    </w:p>
    <w:p w14:paraId="555116DC">
      <w:pPr>
        <w:numPr>
          <w:ilvl w:val="0"/>
          <w:numId w:val="0"/>
        </w:numPr>
        <w:spacing w:line="574" w:lineRule="exact"/>
        <w:ind w:firstLine="560" w:firstLineChars="200"/>
        <w:jc w:val="both"/>
        <w:rPr>
          <w:rFonts w:hint="eastAsia" w:ascii="黑体" w:hAnsi="黑体" w:eastAsia="黑体" w:cs="黑体"/>
          <w:sz w:val="28"/>
          <w:szCs w:val="28"/>
          <w:lang w:eastAsia="zh-CN"/>
        </w:rPr>
      </w:pPr>
      <w:r>
        <w:rPr>
          <w:rFonts w:hint="eastAsia" w:ascii="黑体" w:hAnsi="黑体" w:eastAsia="黑体" w:cs="黑体"/>
          <w:sz w:val="28"/>
          <w:szCs w:val="28"/>
          <w:lang w:val="en-US" w:eastAsia="zh-CN" w:bidi="ar-SA"/>
        </w:rPr>
        <w:t>（四）</w:t>
      </w:r>
      <w:r>
        <w:rPr>
          <w:rFonts w:hint="eastAsia" w:ascii="黑体" w:hAnsi="黑体" w:eastAsia="黑体" w:cs="黑体"/>
          <w:sz w:val="28"/>
          <w:szCs w:val="28"/>
          <w:lang w:eastAsia="zh-CN"/>
        </w:rPr>
        <w:t>绩效评价结论</w:t>
      </w:r>
    </w:p>
    <w:p w14:paraId="7EBE86AF">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对照评价标准，逐项对各项指标进行评价，2024年度苏州市相城区先进材料创新产业园基础设施项目专项债券绩效自评价得分100分，绩效等级为“优”。</w:t>
      </w:r>
    </w:p>
    <w:p w14:paraId="11836F0E">
      <w:pPr>
        <w:spacing w:line="574" w:lineRule="exact"/>
        <w:ind w:firstLine="600" w:firstLineChars="200"/>
        <w:jc w:val="both"/>
        <w:rPr>
          <w:rFonts w:hint="eastAsia" w:ascii="黑体" w:hAnsi="黑体" w:eastAsia="黑体" w:cs="黑体"/>
          <w:sz w:val="30"/>
          <w:szCs w:val="30"/>
          <w:lang w:eastAsia="zh-CN"/>
        </w:rPr>
      </w:pPr>
      <w:r>
        <w:rPr>
          <w:rFonts w:hint="eastAsia" w:ascii="黑体" w:hAnsi="黑体" w:eastAsia="黑体" w:cs="黑体"/>
          <w:sz w:val="30"/>
          <w:szCs w:val="30"/>
          <w:lang w:eastAsia="zh-CN"/>
        </w:rPr>
        <w:t>三、项目绩效</w:t>
      </w:r>
    </w:p>
    <w:p w14:paraId="717ED915">
      <w:pPr>
        <w:spacing w:line="574" w:lineRule="exact"/>
        <w:ind w:firstLine="560" w:firstLineChars="200"/>
        <w:jc w:val="both"/>
        <w:rPr>
          <w:rFonts w:hint="eastAsia" w:ascii="黑体" w:hAnsi="黑体" w:eastAsia="黑体" w:cs="黑体"/>
          <w:sz w:val="28"/>
          <w:szCs w:val="28"/>
          <w:lang w:eastAsia="zh-CN"/>
        </w:rPr>
      </w:pPr>
      <w:r>
        <w:rPr>
          <w:rFonts w:hint="eastAsia" w:ascii="黑体" w:hAnsi="黑体" w:eastAsia="黑体" w:cs="黑体"/>
          <w:sz w:val="28"/>
          <w:szCs w:val="28"/>
          <w:lang w:eastAsia="zh-CN"/>
        </w:rPr>
        <w:t>(一)项目实施的主要做法</w:t>
      </w:r>
    </w:p>
    <w:p w14:paraId="4698F87E">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1、‌分阶段精准推进工程节点‌</w:t>
      </w:r>
    </w:p>
    <w:p w14:paraId="0EC5B50D">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采用“桩基先行、主体分段”策略，制造基地A、B地块桩基工程均100%完成，为后续主体施工奠定技术基础。</w:t>
      </w:r>
    </w:p>
    <w:p w14:paraId="5F90D576">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主体施工分区块推进，A地块完成25%、B地块完成20%，通过流水作业减少施工队间歇时间，提升效率‌。</w:t>
      </w:r>
    </w:p>
    <w:p w14:paraId="472FA49C">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2、技术标准与质量管控并重‌</w:t>
      </w:r>
    </w:p>
    <w:p w14:paraId="4707AABE">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桩基检测严控单桩承载力等参数，确保重型设备承载需求‌。</w:t>
      </w:r>
    </w:p>
    <w:p w14:paraId="2142302A">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主体施工阶段对标“地基基础二级资质”要求，强化混凝土浇筑、钢结构安装等关键工序验收，规避质量风险‌。</w:t>
      </w:r>
    </w:p>
    <w:p w14:paraId="6298C591">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3、‌资源集约与动态调配‌</w:t>
      </w:r>
    </w:p>
    <w:p w14:paraId="48C6B6B5">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综合管廊与引力湾大道同步施工，优先完成地下管线预埋（道路主体工程5%），减少后期重复开挖成本。</w:t>
      </w:r>
    </w:p>
    <w:p w14:paraId="5FAB35AA">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利用“政府+国企”模式，统筹资金投入，保障A、B地块桩基工程高效执行‌。</w:t>
      </w:r>
    </w:p>
    <w:p w14:paraId="511250B2">
      <w:pPr>
        <w:spacing w:line="574" w:lineRule="exact"/>
        <w:ind w:firstLine="560" w:firstLineChars="200"/>
        <w:jc w:val="both"/>
        <w:rPr>
          <w:rFonts w:hint="eastAsia" w:ascii="黑体" w:hAnsi="黑体" w:eastAsia="黑体" w:cs="黑体"/>
          <w:sz w:val="28"/>
          <w:szCs w:val="28"/>
          <w:lang w:eastAsia="zh-CN"/>
        </w:rPr>
      </w:pPr>
      <w:r>
        <w:rPr>
          <w:rFonts w:hint="eastAsia" w:ascii="黑体" w:hAnsi="黑体" w:eastAsia="黑体" w:cs="黑体"/>
          <w:sz w:val="28"/>
          <w:szCs w:val="28"/>
          <w:lang w:eastAsia="zh-CN"/>
        </w:rPr>
        <w:t>(二)项目实践经验</w:t>
      </w:r>
    </w:p>
    <w:p w14:paraId="0C1E00D5">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‌‌1、进度管理创新‌</w:t>
      </w:r>
    </w:p>
    <w:p w14:paraId="459B4FC1">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借鉴“大差法”优化流水施工，动态调整主体施工节奏，应对前期进度滞后风险‌。</w:t>
      </w:r>
    </w:p>
    <w:p w14:paraId="724F725B">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建立“周调度、月考核”机制，针对引力湾大道进度较慢问题，增派施工机械与人员，提升效率。</w:t>
      </w:r>
    </w:p>
    <w:p w14:paraId="6CE305B1">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‌2、全流程服务保障‌</w:t>
      </w:r>
    </w:p>
    <w:p w14:paraId="2719A699">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推行“换位跑一次”行动，协调解决主体施工阶段的建材运输、临时用地审批等问题，缩短非技术性延误。</w:t>
      </w:r>
    </w:p>
    <w:p w14:paraId="1E19114D">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搭建数字化监管平台，实时监控A、B地块主体施工安全（如深基坑支护、高空作业），实现零事故目标。</w:t>
      </w:r>
    </w:p>
    <w:p w14:paraId="42B98905">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‌3、产业链协同前置‌</w:t>
      </w:r>
    </w:p>
    <w:p w14:paraId="361BC31B">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在主体施工阶段提前对接相关链主企业，定制厂房层高、电力配置等参数，减少后期改造成本‌。</w:t>
      </w:r>
    </w:p>
    <w:p w14:paraId="46AE90E2">
      <w:pPr>
        <w:spacing w:line="574" w:lineRule="exact"/>
        <w:ind w:firstLine="560" w:firstLineChars="200"/>
        <w:jc w:val="both"/>
        <w:rPr>
          <w:rFonts w:hint="eastAsia" w:ascii="黑体" w:hAnsi="黑体" w:eastAsia="黑体" w:cs="黑体"/>
          <w:sz w:val="28"/>
          <w:szCs w:val="28"/>
          <w:lang w:eastAsia="zh-CN"/>
        </w:rPr>
      </w:pPr>
      <w:r>
        <w:rPr>
          <w:rFonts w:hint="eastAsia" w:ascii="黑体" w:hAnsi="黑体" w:eastAsia="黑体" w:cs="黑体"/>
          <w:sz w:val="28"/>
          <w:szCs w:val="28"/>
          <w:lang w:eastAsia="zh-CN"/>
        </w:rPr>
        <w:t>(三)项目取得绩效</w:t>
      </w:r>
    </w:p>
    <w:p w14:paraId="1B46138B">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‌1、载体建设稳步推进‌</w:t>
      </w:r>
    </w:p>
    <w:p w14:paraId="442E0FDA">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制造基地A、B地块预计2025年底主体封顶，可提供20万㎡高标准厂房，满足新能源材料、电子信息材料等领域生产需求。</w:t>
      </w:r>
    </w:p>
    <w:p w14:paraId="3622FC62">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引力湾大道及综合管廊2026年建成后，将串联研发基地与制造基地，降低物流成本30%以上。</w:t>
      </w:r>
    </w:p>
    <w:p w14:paraId="7738FB70">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‌2、产业生态初步形成‌</w:t>
      </w:r>
    </w:p>
    <w:p w14:paraId="5158479C">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依托已完工桩基工程，2024年引入多家产业链配套企业。</w:t>
      </w:r>
    </w:p>
    <w:p w14:paraId="42C01851">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‌3、区域经济拉动效应‌</w:t>
      </w:r>
    </w:p>
    <w:p w14:paraId="0DE2CE55">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当前工程投资带动本地建材、物流等关联产业就业超500人，预计2026年园区整体投产后年税收突破3亿元‌。</w:t>
      </w:r>
    </w:p>
    <w:p w14:paraId="1D25A30F">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4、成本控制与资源集约‌</w:t>
      </w:r>
    </w:p>
    <w:p w14:paraId="19EFAAC8">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造价咨询通过公开招标，预算服务下浮率达50%，资金使用效率提升20%。</w:t>
      </w:r>
    </w:p>
    <w:p w14:paraId="1A776B10">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综上：当前项目通过‌分阶段精准施工、技术质量双控、资源动态调配‌等核心做法，克服了引力湾大道进度滞后等挑战，主体工程按计划推进。经验表明，‌流水作业优化、全流程服务保障及产业链协同前置‌是提升大型产业园项目效能的关键。下一步需强化道路及管廊施工资源投入，确保2026年整体竣工目标达成‌。</w:t>
      </w:r>
    </w:p>
    <w:p w14:paraId="286A5EB3">
      <w:pPr>
        <w:spacing w:line="574" w:lineRule="exact"/>
        <w:ind w:firstLine="560" w:firstLineChars="200"/>
        <w:jc w:val="both"/>
        <w:rPr>
          <w:rFonts w:hint="eastAsia" w:ascii="仿宋" w:hAnsi="仿宋" w:eastAsia="仿宋" w:cs="仿宋"/>
          <w:sz w:val="28"/>
          <w:szCs w:val="28"/>
          <w:lang w:eastAsia="zh-CN"/>
        </w:rPr>
      </w:pPr>
    </w:p>
    <w:p w14:paraId="5DF52D9A">
      <w:pPr>
        <w:numPr>
          <w:ilvl w:val="0"/>
          <w:numId w:val="0"/>
        </w:numPr>
        <w:spacing w:line="574" w:lineRule="exact"/>
        <w:ind w:firstLine="600" w:firstLineChars="200"/>
        <w:jc w:val="both"/>
        <w:rPr>
          <w:rFonts w:hint="eastAsia" w:ascii="黑体" w:hAnsi="黑体" w:eastAsia="黑体" w:cs="黑体"/>
          <w:sz w:val="30"/>
          <w:szCs w:val="30"/>
          <w:lang w:eastAsia="zh-CN"/>
        </w:rPr>
      </w:pPr>
      <w:r>
        <w:rPr>
          <w:rFonts w:hint="eastAsia" w:ascii="黑体" w:hAnsi="黑体" w:eastAsia="黑体" w:cs="黑体"/>
          <w:sz w:val="30"/>
          <w:szCs w:val="30"/>
          <w:lang w:val="en-US" w:eastAsia="zh-CN" w:bidi="ar-SA"/>
        </w:rPr>
        <w:t>四、</w:t>
      </w:r>
      <w:r>
        <w:rPr>
          <w:rFonts w:hint="eastAsia" w:ascii="黑体" w:hAnsi="黑体" w:eastAsia="黑体" w:cs="黑体"/>
          <w:sz w:val="30"/>
          <w:szCs w:val="30"/>
          <w:lang w:eastAsia="zh-CN"/>
        </w:rPr>
        <w:t>存在问题</w:t>
      </w:r>
    </w:p>
    <w:p w14:paraId="04839BC1">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无。</w:t>
      </w:r>
    </w:p>
    <w:p w14:paraId="76000323">
      <w:pPr>
        <w:numPr>
          <w:ilvl w:val="0"/>
          <w:numId w:val="0"/>
        </w:numPr>
        <w:spacing w:line="574" w:lineRule="exact"/>
        <w:ind w:firstLine="600" w:firstLineChars="200"/>
        <w:jc w:val="both"/>
        <w:rPr>
          <w:rFonts w:hint="eastAsia" w:ascii="黑体" w:hAnsi="黑体" w:eastAsia="黑体" w:cs="黑体"/>
          <w:sz w:val="30"/>
          <w:szCs w:val="30"/>
          <w:lang w:eastAsia="zh-CN"/>
        </w:rPr>
      </w:pPr>
      <w:r>
        <w:rPr>
          <w:rFonts w:hint="eastAsia" w:ascii="黑体" w:hAnsi="黑体" w:eastAsia="黑体" w:cs="黑体"/>
          <w:sz w:val="30"/>
          <w:szCs w:val="30"/>
          <w:lang w:val="en-US" w:eastAsia="zh-CN" w:bidi="ar-SA"/>
        </w:rPr>
        <w:t>五、</w:t>
      </w:r>
      <w:r>
        <w:rPr>
          <w:rFonts w:hint="eastAsia" w:ascii="黑体" w:hAnsi="黑体" w:eastAsia="黑体" w:cs="黑体"/>
          <w:sz w:val="30"/>
          <w:szCs w:val="30"/>
          <w:lang w:eastAsia="zh-CN"/>
        </w:rPr>
        <w:t>有关建议</w:t>
      </w:r>
    </w:p>
    <w:p w14:paraId="21D891C2">
      <w:pPr>
        <w:spacing w:line="574"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建议严格按照工程进度安排施工，确保时效和工程质量，注重总体目标的实现。 </w:t>
      </w:r>
    </w:p>
    <w:p w14:paraId="4D44A0ED">
      <w:pPr>
        <w:numPr>
          <w:ilvl w:val="0"/>
          <w:numId w:val="0"/>
        </w:numPr>
        <w:spacing w:line="574" w:lineRule="exact"/>
        <w:ind w:firstLine="600" w:firstLineChars="200"/>
        <w:jc w:val="both"/>
        <w:rPr>
          <w:rFonts w:hint="eastAsia" w:ascii="黑体" w:hAnsi="黑体" w:eastAsia="黑体" w:cs="黑体"/>
          <w:sz w:val="30"/>
          <w:szCs w:val="30"/>
          <w:lang w:eastAsia="zh-CN"/>
        </w:rPr>
      </w:pPr>
      <w:r>
        <w:rPr>
          <w:rFonts w:hint="eastAsia" w:ascii="黑体" w:hAnsi="黑体" w:eastAsia="黑体" w:cs="黑体"/>
          <w:sz w:val="30"/>
          <w:szCs w:val="30"/>
          <w:lang w:val="en-US" w:eastAsia="zh-CN" w:bidi="ar-SA"/>
        </w:rPr>
        <w:t>六、</w:t>
      </w:r>
      <w:r>
        <w:rPr>
          <w:rFonts w:hint="eastAsia" w:ascii="黑体" w:hAnsi="黑体" w:eastAsia="黑体" w:cs="黑体"/>
          <w:sz w:val="30"/>
          <w:szCs w:val="30"/>
          <w:lang w:eastAsia="zh-CN"/>
        </w:rPr>
        <w:t>相关信息</w:t>
      </w:r>
    </w:p>
    <w:p w14:paraId="09854044">
      <w:pPr>
        <w:spacing w:line="574" w:lineRule="exact"/>
        <w:ind w:left="440" w:left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附表：江苏省政府专项债券项目资金绩效年度自评价情况表。</w:t>
      </w:r>
    </w:p>
    <w:sectPr>
      <w:footerReference r:id="rId3" w:type="default"/>
      <w:pgSz w:w="11910" w:h="16840"/>
      <w:pgMar w:top="2098" w:right="1474" w:bottom="1984" w:left="1587" w:header="720" w:footer="720" w:gutter="0"/>
      <w:pgNumType w:fmt="decimal"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6E5979E-8D9F-4902-8135-A2EE83BC28A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872F43A1-5286-424B-86E2-821BC55FA98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179C1">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16381C">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D16381C">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yZDA5YTQ2M2JiMjVkNzA4NjllNDI1MWFiMWM3M2MifQ=="/>
  </w:docVars>
  <w:rsids>
    <w:rsidRoot w:val="006A0286"/>
    <w:rsid w:val="0000186F"/>
    <w:rsid w:val="00027842"/>
    <w:rsid w:val="000F0010"/>
    <w:rsid w:val="001076FD"/>
    <w:rsid w:val="00112A3C"/>
    <w:rsid w:val="0012335B"/>
    <w:rsid w:val="001D43CE"/>
    <w:rsid w:val="001E1F08"/>
    <w:rsid w:val="001F5652"/>
    <w:rsid w:val="002034C4"/>
    <w:rsid w:val="00222764"/>
    <w:rsid w:val="00223670"/>
    <w:rsid w:val="002F39B9"/>
    <w:rsid w:val="00317F35"/>
    <w:rsid w:val="003855FA"/>
    <w:rsid w:val="003D4D43"/>
    <w:rsid w:val="00412A90"/>
    <w:rsid w:val="00427AA3"/>
    <w:rsid w:val="00453872"/>
    <w:rsid w:val="00485FCA"/>
    <w:rsid w:val="00496584"/>
    <w:rsid w:val="004B1555"/>
    <w:rsid w:val="004E3E98"/>
    <w:rsid w:val="004F2889"/>
    <w:rsid w:val="00541FD2"/>
    <w:rsid w:val="00542B5C"/>
    <w:rsid w:val="0055497B"/>
    <w:rsid w:val="0058181F"/>
    <w:rsid w:val="00597163"/>
    <w:rsid w:val="005C5968"/>
    <w:rsid w:val="005D094F"/>
    <w:rsid w:val="005D61F8"/>
    <w:rsid w:val="006032DC"/>
    <w:rsid w:val="006A0286"/>
    <w:rsid w:val="006F1257"/>
    <w:rsid w:val="006F2AB8"/>
    <w:rsid w:val="00705B52"/>
    <w:rsid w:val="0072674E"/>
    <w:rsid w:val="007416BA"/>
    <w:rsid w:val="0075652D"/>
    <w:rsid w:val="00784065"/>
    <w:rsid w:val="007A754E"/>
    <w:rsid w:val="00826EA2"/>
    <w:rsid w:val="00830C91"/>
    <w:rsid w:val="00851A24"/>
    <w:rsid w:val="008C735A"/>
    <w:rsid w:val="008D7527"/>
    <w:rsid w:val="008F6FC9"/>
    <w:rsid w:val="00926E98"/>
    <w:rsid w:val="0095504B"/>
    <w:rsid w:val="00987E96"/>
    <w:rsid w:val="009B2D68"/>
    <w:rsid w:val="009C45CA"/>
    <w:rsid w:val="00A14DE2"/>
    <w:rsid w:val="00A72387"/>
    <w:rsid w:val="00A863A2"/>
    <w:rsid w:val="00AA24DC"/>
    <w:rsid w:val="00AC69E3"/>
    <w:rsid w:val="00B14C89"/>
    <w:rsid w:val="00B33955"/>
    <w:rsid w:val="00BD1F01"/>
    <w:rsid w:val="00BD6F02"/>
    <w:rsid w:val="00C40DF6"/>
    <w:rsid w:val="00CB64D3"/>
    <w:rsid w:val="00D20830"/>
    <w:rsid w:val="00D71C46"/>
    <w:rsid w:val="00D855DD"/>
    <w:rsid w:val="00D85F96"/>
    <w:rsid w:val="00DD1CA4"/>
    <w:rsid w:val="00DE067D"/>
    <w:rsid w:val="00DF053C"/>
    <w:rsid w:val="00E1011A"/>
    <w:rsid w:val="00E70A55"/>
    <w:rsid w:val="00EA1BB6"/>
    <w:rsid w:val="00EB03FD"/>
    <w:rsid w:val="00ED06B2"/>
    <w:rsid w:val="00EF65E3"/>
    <w:rsid w:val="00F10930"/>
    <w:rsid w:val="00F161C4"/>
    <w:rsid w:val="00F35A70"/>
    <w:rsid w:val="00F4202D"/>
    <w:rsid w:val="00F65998"/>
    <w:rsid w:val="00FB5E7E"/>
    <w:rsid w:val="00FC405A"/>
    <w:rsid w:val="00FC7877"/>
    <w:rsid w:val="00FD5372"/>
    <w:rsid w:val="0A816E2B"/>
    <w:rsid w:val="278504E5"/>
    <w:rsid w:val="2A523A55"/>
    <w:rsid w:val="331217FF"/>
    <w:rsid w:val="4DCF232B"/>
    <w:rsid w:val="538434F5"/>
    <w:rsid w:val="5C4E1BEB"/>
    <w:rsid w:val="63CC1360"/>
    <w:rsid w:val="675609C4"/>
    <w:rsid w:val="68AE15EE"/>
    <w:rsid w:val="6A1426B4"/>
    <w:rsid w:val="6B7C455F"/>
    <w:rsid w:val="6E250ECD"/>
    <w:rsid w:val="736E1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paragraph" w:styleId="2">
    <w:name w:val="heading 1"/>
    <w:basedOn w:val="1"/>
    <w:next w:val="1"/>
    <w:qFormat/>
    <w:uiPriority w:val="1"/>
    <w:pPr>
      <w:ind w:left="100"/>
      <w:outlineLvl w:val="0"/>
    </w:pPr>
    <w:rPr>
      <w:rFonts w:ascii="宋体" w:hAnsi="宋体" w:eastAsia="宋体"/>
      <w:sz w:val="36"/>
      <w:szCs w:val="36"/>
    </w:rPr>
  </w:style>
  <w:style w:type="paragraph" w:styleId="3">
    <w:name w:val="heading 2"/>
    <w:basedOn w:val="1"/>
    <w:next w:val="1"/>
    <w:qFormat/>
    <w:uiPriority w:val="1"/>
    <w:pPr>
      <w:ind w:left="-21" w:firstLine="2592"/>
      <w:outlineLvl w:val="1"/>
    </w:pPr>
    <w:rPr>
      <w:rFonts w:ascii="宋体" w:hAnsi="宋体" w:eastAsia="宋体"/>
      <w:sz w:val="32"/>
      <w:szCs w:val="32"/>
    </w:rPr>
  </w:style>
  <w:style w:type="character" w:default="1" w:styleId="10">
    <w:name w:val="Default Paragraph Font"/>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pPr>
      <w:spacing w:before="207"/>
      <w:ind w:left="120"/>
    </w:pPr>
    <w:rPr>
      <w:rFonts w:ascii="宋体" w:hAnsi="宋体" w:eastAsia="宋体"/>
      <w:sz w:val="30"/>
      <w:szCs w:val="30"/>
    </w:rPr>
  </w:style>
  <w:style w:type="paragraph" w:styleId="5">
    <w:name w:val="Balloon Text"/>
    <w:basedOn w:val="1"/>
    <w:link w:val="17"/>
    <w:semiHidden/>
    <w:unhideWhenUsed/>
    <w:uiPriority w:val="99"/>
    <w:rPr>
      <w:sz w:val="18"/>
      <w:szCs w:val="18"/>
    </w:rPr>
  </w:style>
  <w:style w:type="paragraph" w:styleId="6">
    <w:name w:val="footer"/>
    <w:basedOn w:val="1"/>
    <w:link w:val="16"/>
    <w:unhideWhenUsed/>
    <w:qFormat/>
    <w:uiPriority w:val="99"/>
    <w:pPr>
      <w:tabs>
        <w:tab w:val="center" w:pos="4153"/>
        <w:tab w:val="right" w:pos="8306"/>
      </w:tabs>
      <w:snapToGrid w:val="0"/>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style>
  <w:style w:type="paragraph" w:customStyle="1" w:styleId="13">
    <w:name w:val="Table Paragraph"/>
    <w:basedOn w:val="1"/>
    <w:qFormat/>
    <w:uiPriority w:val="1"/>
  </w:style>
  <w:style w:type="paragraph" w:customStyle="1" w:styleId="14">
    <w:name w:val="Default"/>
    <w:qFormat/>
    <w:uiPriority w:val="0"/>
    <w:pPr>
      <w:widowControl w:val="0"/>
      <w:autoSpaceDE w:val="0"/>
      <w:autoSpaceDN w:val="0"/>
      <w:adjustRightInd w:val="0"/>
    </w:pPr>
    <w:rPr>
      <w:rFonts w:ascii="方正黑体_GBK" w:hAnsi="方正黑体_GBK" w:cs="方正黑体_GBK" w:eastAsiaTheme="minorEastAsia"/>
      <w:color w:val="000000"/>
      <w:sz w:val="24"/>
      <w:szCs w:val="24"/>
      <w:lang w:val="en-US" w:eastAsia="en-US" w:bidi="ar-SA"/>
    </w:rPr>
  </w:style>
  <w:style w:type="character" w:customStyle="1" w:styleId="15">
    <w:name w:val="页眉 Char"/>
    <w:basedOn w:val="10"/>
    <w:link w:val="7"/>
    <w:qFormat/>
    <w:uiPriority w:val="99"/>
    <w:rPr>
      <w:sz w:val="18"/>
      <w:szCs w:val="18"/>
    </w:rPr>
  </w:style>
  <w:style w:type="character" w:customStyle="1" w:styleId="16">
    <w:name w:val="页脚 Char"/>
    <w:basedOn w:val="10"/>
    <w:link w:val="6"/>
    <w:qFormat/>
    <w:uiPriority w:val="99"/>
    <w:rPr>
      <w:sz w:val="18"/>
      <w:szCs w:val="18"/>
    </w:rPr>
  </w:style>
  <w:style w:type="character" w:customStyle="1" w:styleId="17">
    <w:name w:val="批注框文本 Char"/>
    <w:basedOn w:val="10"/>
    <w:link w:val="5"/>
    <w:semiHidden/>
    <w:qFormat/>
    <w:uiPriority w:val="99"/>
    <w:rPr>
      <w:rFonts w:asciiTheme="minorHAnsi" w:hAnsiTheme="minorHAnsi" w:eastAsiaTheme="minorEastAsia" w:cstheme="minorBidi"/>
      <w:sz w:val="18"/>
      <w:szCs w:val="1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2897</Words>
  <Characters>3067</Characters>
  <Lines>22</Lines>
  <Paragraphs>6</Paragraphs>
  <TotalTime>171</TotalTime>
  <ScaleCrop>false</ScaleCrop>
  <LinksUpToDate>false</LinksUpToDate>
  <CharactersWithSpaces>3090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2025-03-03T07:28:00Z</dcterms:created>
  <dc:creator>张肖军(拟稿)</dc:creator>
  <cp:lastModifiedBy>猫咪dasiy</cp:lastModifiedBy>
  <dcterms:modified xsi:type="dcterms:W3CDTF">2025-06-24T09:24:33Z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2020-09-01T00:00:00Z</vt:filetime>
  </property>
  <property fmtid="{D5CDD505-2E9C-101B-9397-08002B2CF9AE}" pid="3" name="Creator">
    <vt:lpwstr>Adobe Acrobat Pro 11.0.7</vt:lpwstr>
  </property>
  <property fmtid="{D5CDD505-2E9C-101B-9397-08002B2CF9AE}" pid="4" name="LastSaved">
    <vt:filetime>2021-08-19T00:00:00Z</vt:filetime>
  </property>
  <property fmtid="{D5CDD505-2E9C-101B-9397-08002B2CF9AE}" pid="5" name="KSOProductBuildVer">
    <vt:lpwstr>2052-12.1.0.21541</vt:lpwstr>
  </property>
  <property fmtid="{D5CDD505-2E9C-101B-9397-08002B2CF9AE}" pid="6" name="ICV">
    <vt:lpwstr>6B65AEDD880246E58EA7126801AB76B4_13</vt:lpwstr>
  </property>
  <property fmtid="{D5CDD505-2E9C-101B-9397-08002B2CF9AE}" pid="7" name="KSOTemplateDocerSaveRecord">
    <vt:lpwstr>eyJoZGlkIjoiMDgxMGY4ODYxZWJhMzQyNWU1MDE1NmJjZThjZGRkZTEiLCJ1c2VySWQiOiIxMTU5ODU5MzQ3In0=</vt:lpwstr>
  </property>
</Properties>
</file>