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A2728">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w:t>
      </w:r>
    </w:p>
    <w:p w14:paraId="17EBC125">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仿宋_GB2312"/>
          <w:b/>
          <w:sz w:val="36"/>
          <w:szCs w:val="36"/>
          <w:lang w:val="en-US" w:eastAsia="zh-CN"/>
        </w:rPr>
      </w:pPr>
    </w:p>
    <w:p w14:paraId="7140B4F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sz w:val="44"/>
          <w:szCs w:val="44"/>
          <w:lang w:eastAsia="zh-CN"/>
        </w:rPr>
      </w:pPr>
      <w:r>
        <w:rPr>
          <w:rFonts w:hint="eastAsia" w:ascii="方正小标宋_GBK" w:hAnsi="方正小标宋_GBK" w:eastAsia="方正小标宋_GBK" w:cs="方正小标宋_GBK"/>
          <w:b w:val="0"/>
          <w:bCs/>
          <w:sz w:val="44"/>
          <w:szCs w:val="44"/>
          <w:lang w:eastAsia="zh-CN"/>
        </w:rPr>
        <w:t>苏州市相城区林荫路片区（CP320507-2025-06-01）土地征收成片</w:t>
      </w:r>
    </w:p>
    <w:p w14:paraId="6330688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_GB2312"/>
          <w:b/>
          <w:sz w:val="44"/>
          <w:szCs w:val="44"/>
        </w:rPr>
      </w:pPr>
      <w:r>
        <w:rPr>
          <w:rFonts w:hint="eastAsia" w:ascii="方正小标宋_GBK" w:hAnsi="方正小标宋_GBK" w:eastAsia="方正小标宋_GBK" w:cs="方正小标宋_GBK"/>
          <w:b w:val="0"/>
          <w:bCs/>
          <w:sz w:val="44"/>
          <w:szCs w:val="44"/>
          <w:lang w:eastAsia="zh-CN"/>
        </w:rPr>
        <w:t>开发方案</w:t>
      </w:r>
      <w:r>
        <w:rPr>
          <w:rFonts w:hint="eastAsia" w:ascii="方正小标宋_GBK" w:hAnsi="方正小标宋_GBK" w:eastAsia="方正小标宋_GBK" w:cs="方正小标宋_GBK"/>
          <w:b w:val="0"/>
          <w:bCs/>
          <w:sz w:val="44"/>
          <w:szCs w:val="44"/>
        </w:rPr>
        <w:t>主要内容</w:t>
      </w:r>
    </w:p>
    <w:p w14:paraId="72C84584">
      <w:pPr>
        <w:keepNext w:val="0"/>
        <w:keepLines w:val="0"/>
        <w:pageBreakBefore w:val="0"/>
        <w:widowControl w:val="0"/>
        <w:kinsoku/>
        <w:wordWrap/>
        <w:overflowPunct/>
        <w:topLinePunct w:val="0"/>
        <w:autoSpaceDE/>
        <w:autoSpaceDN/>
        <w:bidi w:val="0"/>
        <w:adjustRightInd/>
        <w:snapToGrid/>
        <w:spacing w:line="600" w:lineRule="exact"/>
        <w:textAlignment w:val="auto"/>
      </w:pPr>
    </w:p>
    <w:p w14:paraId="70D784C8">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一、</w:t>
      </w:r>
      <w:r>
        <w:rPr>
          <w:rFonts w:hint="eastAsia" w:ascii="黑体" w:hAnsi="黑体" w:eastAsia="黑体" w:cs="黑体"/>
          <w:b w:val="0"/>
          <w:bCs/>
        </w:rPr>
        <w:t>编制依据</w:t>
      </w:r>
    </w:p>
    <w:p w14:paraId="04F31C69">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1</w:t>
      </w:r>
      <w:r>
        <w:rPr>
          <w:rFonts w:hint="eastAsia" w:ascii="仿宋_GB2312" w:hAnsi="仿宋_GB2312" w:cs="仿宋_GB2312"/>
          <w:kern w:val="2"/>
          <w:sz w:val="32"/>
          <w:szCs w:val="32"/>
          <w:lang w:val="en-US" w:eastAsia="zh-CN" w:bidi="ar-SA"/>
        </w:rPr>
        <w:t>.</w:t>
      </w:r>
      <w:r>
        <w:t>《中华人民共和国民法典》；</w:t>
      </w:r>
    </w:p>
    <w:p w14:paraId="176FA5DD">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2</w:t>
      </w:r>
      <w:r>
        <w:rPr>
          <w:rFonts w:hint="eastAsia" w:ascii="仿宋_GB2312" w:hAnsi="仿宋_GB2312" w:cs="仿宋_GB2312"/>
          <w:kern w:val="2"/>
          <w:sz w:val="32"/>
          <w:szCs w:val="32"/>
          <w:lang w:val="en-US" w:eastAsia="zh-CN" w:bidi="ar-SA"/>
        </w:rPr>
        <w:t>.</w:t>
      </w:r>
      <w:r>
        <w:t>《中华人民共和国土地管理法》；</w:t>
      </w:r>
    </w:p>
    <w:p w14:paraId="29B0C2D8">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w:t>
      </w:r>
      <w:r>
        <w:t>《中华人民共和国城乡规划法》；</w:t>
      </w:r>
    </w:p>
    <w:p w14:paraId="7BD576F3">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4</w:t>
      </w:r>
      <w:r>
        <w:rPr>
          <w:rFonts w:hint="eastAsia" w:ascii="仿宋_GB2312" w:hAnsi="仿宋_GB2312" w:eastAsia="仿宋_GB2312" w:cs="仿宋_GB2312"/>
          <w:kern w:val="2"/>
          <w:sz w:val="32"/>
          <w:szCs w:val="32"/>
          <w:lang w:val="en-US" w:eastAsia="zh-CN" w:bidi="ar-SA"/>
        </w:rPr>
        <w:t>.</w:t>
      </w:r>
      <w:r>
        <w:t>《自然资源部关于印发&lt;土地征收成片开发标准&gt;的通知》（自然资规〔2023〕7号）；</w:t>
      </w:r>
    </w:p>
    <w:p w14:paraId="017A0356">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5</w:t>
      </w:r>
      <w:r>
        <w:rPr>
          <w:rFonts w:hint="eastAsia" w:ascii="仿宋_GB2312" w:hAnsi="仿宋_GB2312" w:eastAsia="仿宋_GB2312" w:cs="仿宋_GB2312"/>
          <w:kern w:val="2"/>
          <w:sz w:val="32"/>
          <w:szCs w:val="32"/>
          <w:lang w:val="en-US" w:eastAsia="zh-CN" w:bidi="ar-SA"/>
        </w:rPr>
        <w:t>.</w:t>
      </w:r>
      <w:r>
        <w:t>《江苏省自然资源厅关于做好当前土地征收前期工作的通知》（苏自然资函〔2020〕442号）；</w:t>
      </w:r>
    </w:p>
    <w:p w14:paraId="4166351C">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6</w:t>
      </w:r>
      <w:r>
        <w:rPr>
          <w:rFonts w:hint="eastAsia" w:ascii="仿宋_GB2312" w:hAnsi="仿宋_GB2312" w:eastAsia="仿宋_GB2312" w:cs="仿宋_GB2312"/>
          <w:kern w:val="2"/>
          <w:sz w:val="32"/>
          <w:szCs w:val="32"/>
          <w:lang w:val="en-US" w:eastAsia="zh-CN" w:bidi="ar-SA"/>
        </w:rPr>
        <w:t>.</w:t>
      </w:r>
      <w:r>
        <w:t>《江苏省自然资源厅关于开展土地征收成片开发方案编制工作的通知》（苏自然资函〔2021〕15号）；</w:t>
      </w:r>
    </w:p>
    <w:p w14:paraId="3D82011E">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7</w:t>
      </w:r>
      <w:r>
        <w:rPr>
          <w:rFonts w:hint="eastAsia" w:ascii="仿宋_GB2312" w:hAnsi="仿宋_GB2312" w:eastAsia="仿宋_GB2312" w:cs="仿宋_GB2312"/>
          <w:kern w:val="2"/>
          <w:sz w:val="32"/>
          <w:szCs w:val="32"/>
          <w:lang w:val="en-US" w:eastAsia="zh-CN" w:bidi="ar-SA"/>
        </w:rPr>
        <w:t>.</w:t>
      </w:r>
      <w:r>
        <w:t>《江苏省自然资源厅关于加快推进土地征收成片开发方案编制工作的通知》（苏自然资发〔2021〕138号）；</w:t>
      </w:r>
    </w:p>
    <w:p w14:paraId="3102D9D3">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8</w:t>
      </w:r>
      <w:r>
        <w:rPr>
          <w:rFonts w:hint="eastAsia" w:ascii="仿宋_GB2312" w:hAnsi="仿宋_GB2312" w:eastAsia="仿宋_GB2312" w:cs="仿宋_GB2312"/>
          <w:kern w:val="2"/>
          <w:sz w:val="32"/>
          <w:szCs w:val="32"/>
          <w:lang w:val="en-US" w:eastAsia="zh-CN" w:bidi="ar-SA"/>
        </w:rPr>
        <w:t>.</w:t>
      </w:r>
      <w:r>
        <w:t>《江苏省土地征收成片开发方案编制指南（试行）》；</w:t>
      </w:r>
    </w:p>
    <w:p w14:paraId="067D2B15">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9</w:t>
      </w:r>
      <w:r>
        <w:rPr>
          <w:rFonts w:hint="eastAsia" w:ascii="仿宋_GB2312" w:hAnsi="仿宋_GB2312" w:eastAsia="仿宋_GB2312" w:cs="仿宋_GB2312"/>
          <w:kern w:val="2"/>
          <w:sz w:val="32"/>
          <w:szCs w:val="32"/>
          <w:lang w:val="en-US" w:eastAsia="zh-CN" w:bidi="ar-SA"/>
        </w:rPr>
        <w:t>.</w:t>
      </w:r>
      <w:r>
        <w:t>《市政府关于重新公布苏州市市区征地区片综合地价标准的通知》（苏府规字〔2024〕6号）；</w:t>
      </w:r>
    </w:p>
    <w:p w14:paraId="48BCDDC7">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10</w:t>
      </w:r>
      <w:r>
        <w:rPr>
          <w:rFonts w:hint="eastAsia" w:ascii="仿宋_GB2312" w:hAnsi="仿宋_GB2312" w:eastAsia="仿宋_GB2312" w:cs="仿宋_GB2312"/>
          <w:kern w:val="2"/>
          <w:sz w:val="32"/>
          <w:szCs w:val="32"/>
          <w:lang w:val="en-US" w:eastAsia="zh-CN" w:bidi="ar-SA"/>
        </w:rPr>
        <w:t>.</w:t>
      </w:r>
      <w:r>
        <w:t>《市政府办公室关于印发&lt;苏州市市区征地补偿和被征地农民社会保障实施细则&gt;的通知》（苏府办〔2014〕205号）；</w:t>
      </w:r>
    </w:p>
    <w:p w14:paraId="29728F0B">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11</w:t>
      </w:r>
      <w:r>
        <w:rPr>
          <w:rFonts w:hint="eastAsia" w:ascii="仿宋_GB2312" w:hAnsi="仿宋_GB2312" w:eastAsia="仿宋_GB2312" w:cs="仿宋_GB2312"/>
          <w:kern w:val="2"/>
          <w:sz w:val="32"/>
          <w:szCs w:val="32"/>
          <w:lang w:val="en-US" w:eastAsia="zh-CN" w:bidi="ar-SA"/>
        </w:rPr>
        <w:t>.</w:t>
      </w:r>
      <w:r>
        <w:t>《市政府办公室关于进一步完善土地征收成片开发方案编制报批工作的通知》（苏府办〔2021〕242号）；</w:t>
      </w:r>
    </w:p>
    <w:p w14:paraId="0001B740">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12</w:t>
      </w:r>
      <w:r>
        <w:rPr>
          <w:rFonts w:hint="eastAsia" w:ascii="仿宋_GB2312" w:hAnsi="仿宋_GB2312" w:eastAsia="仿宋_GB2312" w:cs="仿宋_GB2312"/>
          <w:kern w:val="2"/>
          <w:sz w:val="32"/>
          <w:szCs w:val="32"/>
          <w:lang w:val="en-US" w:eastAsia="zh-CN" w:bidi="ar-SA"/>
        </w:rPr>
        <w:t>.</w:t>
      </w:r>
      <w:r>
        <w:t>《关于公布苏州市区被征地农民社会保障费用筹集标准的通知》（苏人保养〔2024〕1号）；</w:t>
      </w:r>
    </w:p>
    <w:p w14:paraId="3E45A323">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13</w:t>
      </w:r>
      <w:r>
        <w:rPr>
          <w:rFonts w:hint="eastAsia" w:ascii="仿宋_GB2312" w:hAnsi="仿宋_GB2312" w:eastAsia="仿宋_GB2312" w:cs="仿宋_GB2312"/>
          <w:kern w:val="2"/>
          <w:sz w:val="32"/>
          <w:szCs w:val="32"/>
          <w:lang w:val="en-US" w:eastAsia="zh-CN" w:bidi="ar-SA"/>
        </w:rPr>
        <w:t>.</w:t>
      </w:r>
      <w:r>
        <w:t>《关于公布苏州市区被征地农民社会保障待遇标准的通知》（苏人保养〔2024〕2号）；</w:t>
      </w:r>
    </w:p>
    <w:p w14:paraId="2BB4E08D">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14</w:t>
      </w:r>
      <w:r>
        <w:rPr>
          <w:rFonts w:hint="eastAsia" w:ascii="仿宋_GB2312" w:hAnsi="仿宋_GB2312" w:eastAsia="仿宋_GB2312" w:cs="仿宋_GB2312"/>
          <w:kern w:val="2"/>
          <w:sz w:val="32"/>
          <w:szCs w:val="32"/>
          <w:lang w:val="en-US" w:eastAsia="zh-CN" w:bidi="ar-SA"/>
        </w:rPr>
        <w:t>.</w:t>
      </w:r>
      <w:r>
        <w:t>《苏州市相城区国民经济和社会发展第十四个五年规划和二</w:t>
      </w:r>
      <w:r>
        <w:rPr>
          <w:rFonts w:eastAsia="微软雅黑"/>
        </w:rPr>
        <w:t>〇</w:t>
      </w:r>
      <w:r>
        <w:t>三五年远景目标纲要》；</w:t>
      </w:r>
    </w:p>
    <w:p w14:paraId="21DAC49C">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15</w:t>
      </w:r>
      <w:r>
        <w:rPr>
          <w:rFonts w:hint="eastAsia" w:cs="Times New Roman"/>
          <w:kern w:val="2"/>
          <w:sz w:val="32"/>
          <w:szCs w:val="32"/>
          <w:lang w:val="en-US" w:eastAsia="zh-CN" w:bidi="ar-SA"/>
        </w:rPr>
        <w:t>.</w:t>
      </w:r>
      <w:r>
        <w:rPr>
          <w:rFonts w:hint="eastAsia"/>
        </w:rPr>
        <w:t>《苏州市相城区XC0111单元及01、02、04街区详细规划》；</w:t>
      </w:r>
    </w:p>
    <w:p w14:paraId="05D354DC">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16</w:t>
      </w:r>
      <w:r>
        <w:rPr>
          <w:rFonts w:hint="eastAsia" w:ascii="仿宋_GB2312" w:hAnsi="仿宋_GB2312" w:eastAsia="仿宋_GB2312" w:cs="仿宋_GB2312"/>
          <w:kern w:val="2"/>
          <w:sz w:val="32"/>
          <w:szCs w:val="32"/>
          <w:lang w:val="en-US" w:eastAsia="zh-CN" w:bidi="ar-SA"/>
        </w:rPr>
        <w:t>.</w:t>
      </w:r>
      <w:r>
        <w:t>苏州市相城区</w:t>
      </w:r>
      <w:r>
        <w:rPr>
          <w:rFonts w:hint="eastAsia"/>
        </w:rPr>
        <w:t>“</w:t>
      </w:r>
      <w:r>
        <w:t>三区三线</w:t>
      </w:r>
      <w:r>
        <w:rPr>
          <w:rFonts w:hint="eastAsia"/>
        </w:rPr>
        <w:t>”</w:t>
      </w:r>
      <w:r>
        <w:t>划定成果；</w:t>
      </w:r>
    </w:p>
    <w:p w14:paraId="776A2F5C">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17</w:t>
      </w:r>
      <w:r>
        <w:rPr>
          <w:rFonts w:hint="eastAsia" w:ascii="仿宋_GB2312" w:hAnsi="仿宋_GB2312" w:eastAsia="仿宋_GB2312" w:cs="仿宋_GB2312"/>
          <w:kern w:val="2"/>
          <w:sz w:val="32"/>
          <w:szCs w:val="32"/>
          <w:lang w:val="en-US" w:eastAsia="zh-CN" w:bidi="ar-SA"/>
        </w:rPr>
        <w:t>.</w:t>
      </w:r>
      <w:r>
        <w:t>苏州市相城区2023年度国土变更调查成果；</w:t>
      </w:r>
    </w:p>
    <w:p w14:paraId="71F0E2EB">
      <w:pPr>
        <w:pStyle w:val="13"/>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pPr>
      <w:r>
        <w:rPr>
          <w:rFonts w:hint="default" w:ascii="Times New Roman" w:hAnsi="Times New Roman" w:eastAsia="仿宋_GB2312" w:cs="Times New Roman"/>
          <w:kern w:val="2"/>
          <w:sz w:val="32"/>
          <w:szCs w:val="32"/>
          <w:lang w:val="en-US" w:eastAsia="zh-CN" w:bidi="ar-SA"/>
        </w:rPr>
        <w:t>18</w:t>
      </w:r>
      <w:r>
        <w:rPr>
          <w:rFonts w:hint="eastAsia" w:ascii="仿宋_GB2312" w:hAnsi="仿宋_GB2312" w:eastAsia="仿宋_GB2312" w:cs="仿宋_GB2312"/>
          <w:kern w:val="2"/>
          <w:sz w:val="32"/>
          <w:szCs w:val="32"/>
          <w:lang w:val="en-US" w:eastAsia="zh-CN" w:bidi="ar-SA"/>
        </w:rPr>
        <w:t>.</w:t>
      </w:r>
      <w:r>
        <w:t>成片开发拟建设项目的相关资料及其他资料。</w:t>
      </w:r>
    </w:p>
    <w:p w14:paraId="172E393D">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二、</w:t>
      </w:r>
      <w:r>
        <w:rPr>
          <w:rFonts w:hint="eastAsia" w:ascii="黑体" w:hAnsi="黑体" w:eastAsia="黑体" w:cs="黑体"/>
          <w:b w:val="0"/>
          <w:bCs/>
        </w:rPr>
        <w:t>基本情况</w:t>
      </w:r>
    </w:p>
    <w:p w14:paraId="03FDAF4B">
      <w:pPr>
        <w:pStyle w:val="13"/>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lang w:eastAsia="zh-CN"/>
        </w:rPr>
      </w:pPr>
      <w:r>
        <w:rPr>
          <w:rFonts w:hint="eastAsia"/>
        </w:rPr>
        <w:t>苏州市相城区林荫路片区（CP320507-2025-06-01）土地征收成片开发方案</w:t>
      </w:r>
      <w:r>
        <w:t>，涉及</w:t>
      </w:r>
      <w:r>
        <w:rPr>
          <w:rFonts w:hint="eastAsia"/>
          <w:lang w:val="en-US" w:eastAsia="zh-CN"/>
        </w:rPr>
        <w:t>1</w:t>
      </w:r>
      <w:r>
        <w:t>个板块，为</w:t>
      </w:r>
      <w:r>
        <w:rPr>
          <w:rFonts w:hint="eastAsia"/>
          <w:lang w:val="en-US" w:eastAsia="zh-CN"/>
        </w:rPr>
        <w:t>元和</w:t>
      </w:r>
      <w:r>
        <w:t>街道</w:t>
      </w:r>
      <w:r>
        <w:rPr>
          <w:rFonts w:hint="eastAsia"/>
        </w:rPr>
        <w:t>，</w:t>
      </w:r>
      <w:r>
        <w:t>总面积</w:t>
      </w:r>
      <w:r>
        <w:rPr>
          <w:rFonts w:hint="eastAsia"/>
          <w:lang w:eastAsia="zh-CN"/>
        </w:rPr>
        <w:t>91.1653公顷</w:t>
      </w:r>
    </w:p>
    <w:p w14:paraId="7A2EC3C4">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highlight w:val="none"/>
        </w:rPr>
      </w:pPr>
      <w:r>
        <w:rPr>
          <w:rFonts w:hint="eastAsia" w:ascii="黑体" w:hAnsi="黑体" w:eastAsia="黑体" w:cs="黑体"/>
          <w:b w:val="0"/>
          <w:bCs/>
          <w:kern w:val="2"/>
          <w:sz w:val="32"/>
          <w:szCs w:val="32"/>
          <w:lang w:val="en-US" w:eastAsia="zh-CN" w:bidi="ar-SA"/>
        </w:rPr>
        <w:t>三、</w:t>
      </w:r>
      <w:r>
        <w:rPr>
          <w:rFonts w:hint="eastAsia" w:ascii="黑体" w:hAnsi="黑体" w:eastAsia="黑体" w:cs="黑体"/>
          <w:b w:val="0"/>
          <w:bCs/>
          <w:highlight w:val="none"/>
        </w:rPr>
        <w:t>成片开发的必要性</w:t>
      </w:r>
    </w:p>
    <w:p w14:paraId="5A6BAB84">
      <w:pPr>
        <w:pStyle w:val="13"/>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lang w:eastAsia="zh-CN"/>
        </w:rPr>
        <w:t>（</w:t>
      </w:r>
      <w:r>
        <w:rPr>
          <w:rFonts w:hint="eastAsia" w:ascii="楷体_GB2312" w:hAnsi="楷体_GB2312" w:eastAsia="楷体_GB2312" w:cs="楷体_GB2312"/>
          <w:b/>
          <w:bCs/>
          <w:lang w:val="en-US" w:eastAsia="zh-CN"/>
        </w:rPr>
        <w:t>一</w:t>
      </w:r>
      <w:r>
        <w:rPr>
          <w:rFonts w:hint="eastAsia" w:ascii="楷体_GB2312" w:hAnsi="楷体_GB2312" w:eastAsia="楷体_GB2312" w:cs="楷体_GB2312"/>
          <w:b/>
          <w:bCs/>
          <w:lang w:eastAsia="zh-CN"/>
        </w:rPr>
        <w:t>）</w:t>
      </w:r>
      <w:r>
        <w:rPr>
          <w:rFonts w:hint="eastAsia" w:ascii="楷体_GB2312" w:hAnsi="楷体_GB2312" w:eastAsia="楷体_GB2312" w:cs="楷体_GB2312"/>
          <w:b/>
          <w:bCs/>
        </w:rPr>
        <w:t>打造生态宜居的开放街区的需要</w:t>
      </w:r>
    </w:p>
    <w:p w14:paraId="6D0792D7">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rPr>
        <w:t>林荫路片区位于</w:t>
      </w:r>
      <w:r>
        <w:rPr>
          <w:rFonts w:hint="eastAsia"/>
          <w:lang w:eastAsia="zh-CN"/>
        </w:rPr>
        <w:t>元和</w:t>
      </w:r>
      <w:r>
        <w:rPr>
          <w:rFonts w:hint="eastAsia"/>
        </w:rPr>
        <w:t>街道</w:t>
      </w:r>
      <w:r>
        <w:rPr>
          <w:rFonts w:hint="eastAsia"/>
          <w:lang w:val="en-US" w:eastAsia="zh-CN"/>
        </w:rPr>
        <w:t>街区</w:t>
      </w:r>
      <w:r>
        <w:rPr>
          <w:rFonts w:hint="eastAsia"/>
        </w:rPr>
        <w:t>东部，功能定位</w:t>
      </w:r>
      <w:r>
        <w:rPr>
          <w:rFonts w:hint="eastAsia"/>
          <w:lang w:val="en-US" w:eastAsia="zh-CN"/>
        </w:rPr>
        <w:t>元和宜居生活街区</w:t>
      </w:r>
      <w:r>
        <w:rPr>
          <w:rFonts w:hint="eastAsia"/>
        </w:rPr>
        <w:t>，以</w:t>
      </w:r>
      <w:r>
        <w:rPr>
          <w:rFonts w:hint="eastAsia"/>
          <w:lang w:val="en-US" w:eastAsia="zh-CN"/>
        </w:rPr>
        <w:t>生活配套齐全</w:t>
      </w:r>
      <w:r>
        <w:rPr>
          <w:rFonts w:hint="eastAsia"/>
        </w:rPr>
        <w:t>的开放街区和复合发展、休闲活力的公共空间为特色的</w:t>
      </w:r>
      <w:r>
        <w:rPr>
          <w:rFonts w:hint="eastAsia"/>
          <w:lang w:val="en-US" w:eastAsia="zh-CN"/>
        </w:rPr>
        <w:t>街区</w:t>
      </w:r>
      <w:r>
        <w:rPr>
          <w:rFonts w:hint="eastAsia"/>
        </w:rPr>
        <w:t>单元。本成片开发方案的实施有助于聚力优化发展空间，助力生态宜居的开放街区的形成。</w:t>
      </w:r>
    </w:p>
    <w:p w14:paraId="5164B9B1">
      <w:pPr>
        <w:pStyle w:val="13"/>
        <w:keepLines w:val="0"/>
        <w:pageBreakBefore w:val="0"/>
        <w:kinsoku/>
        <w:wordWrap/>
        <w:overflowPunct/>
        <w:topLinePunct w:val="0"/>
        <w:autoSpaceDE/>
        <w:autoSpaceDN/>
        <w:bidi w:val="0"/>
        <w:adjustRightInd/>
        <w:snapToGrid/>
        <w:spacing w:line="560" w:lineRule="exact"/>
        <w:ind w:firstLine="643" w:firstLineChars="200"/>
        <w:textAlignment w:val="auto"/>
      </w:pPr>
      <w:r>
        <w:rPr>
          <w:rFonts w:hint="eastAsia" w:ascii="楷体_GB2312" w:hAnsi="楷体_GB2312" w:eastAsia="楷体_GB2312" w:cs="楷体_GB2312"/>
          <w:b/>
          <w:bCs/>
          <w:lang w:eastAsia="zh-CN"/>
        </w:rPr>
        <w:t>（</w:t>
      </w:r>
      <w:r>
        <w:rPr>
          <w:rFonts w:hint="eastAsia" w:ascii="楷体_GB2312" w:hAnsi="楷体_GB2312" w:eastAsia="楷体_GB2312" w:cs="楷体_GB2312"/>
          <w:b/>
          <w:bCs/>
          <w:lang w:val="en-US" w:eastAsia="zh-CN"/>
        </w:rPr>
        <w:t>二</w:t>
      </w:r>
      <w:r>
        <w:rPr>
          <w:rFonts w:hint="eastAsia" w:ascii="楷体_GB2312" w:hAnsi="楷体_GB2312" w:eastAsia="楷体_GB2312" w:cs="楷体_GB2312"/>
          <w:b/>
          <w:bCs/>
          <w:lang w:eastAsia="zh-CN"/>
        </w:rPr>
        <w:t>）</w:t>
      </w:r>
      <w:r>
        <w:rPr>
          <w:rFonts w:hint="eastAsia" w:ascii="楷体_GB2312" w:hAnsi="楷体_GB2312" w:eastAsia="楷体_GB2312" w:cs="楷体_GB2312"/>
          <w:b/>
          <w:bCs/>
        </w:rPr>
        <w:t>提升片区整体配套设施、环境风貌的需要</w:t>
      </w:r>
    </w:p>
    <w:p w14:paraId="239DAC71">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rPr>
        <w:t>片区大部分区域处于待开发的状态，配套设施不足，整体环境风貌欠佳。加快片区土地征收成片开发方案的实施可以配建道路、绿地等项目设施，能提升片区的配套服务能力。同时，整体的成片开发可以统一设计、统一建设，提升片区的环境风貌。</w:t>
      </w:r>
    </w:p>
    <w:p w14:paraId="55EA0626">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四、</w:t>
      </w:r>
      <w:r>
        <w:rPr>
          <w:rFonts w:hint="eastAsia" w:ascii="黑体" w:hAnsi="黑体" w:eastAsia="黑体" w:cs="黑体"/>
          <w:b w:val="0"/>
          <w:bCs/>
        </w:rPr>
        <w:t>规划主要用途和实现功能</w:t>
      </w:r>
    </w:p>
    <w:p w14:paraId="5E0BE616">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t>依据</w:t>
      </w:r>
      <w:r>
        <w:rPr>
          <w:rFonts w:hint="eastAsia"/>
        </w:rPr>
        <w:t>《苏州市相城区XC0111单元及01、02、04街区详细规划》，林荫路片区（CP320507-2025-06-01）土地征收成片开发方案</w:t>
      </w:r>
      <w:r>
        <w:t>主要用途为</w:t>
      </w:r>
      <w:r>
        <w:rPr>
          <w:rFonts w:hint="eastAsia"/>
          <w:lang w:val="en-US" w:eastAsia="zh-CN"/>
        </w:rPr>
        <w:t>居住用地、</w:t>
      </w:r>
      <w:r>
        <w:t>交通运输用地、绿地与开敞空间用地</w:t>
      </w:r>
      <w:r>
        <w:rPr>
          <w:rFonts w:hint="eastAsia"/>
          <w:lang w:eastAsia="zh-CN"/>
        </w:rPr>
        <w:t>、</w:t>
      </w:r>
      <w:r>
        <w:rPr>
          <w:rFonts w:hint="eastAsia"/>
          <w:lang w:val="en-US" w:eastAsia="zh-CN"/>
        </w:rPr>
        <w:t>商业用地、公用设施用地、</w:t>
      </w:r>
      <w:r>
        <w:t>陆地水域。</w:t>
      </w:r>
    </w:p>
    <w:p w14:paraId="16D4B036">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五、</w:t>
      </w:r>
      <w:r>
        <w:rPr>
          <w:rFonts w:hint="eastAsia" w:ascii="黑体" w:hAnsi="黑体" w:eastAsia="黑体" w:cs="黑体"/>
          <w:b w:val="0"/>
          <w:bCs/>
        </w:rPr>
        <w:t>公益性用地</w:t>
      </w:r>
    </w:p>
    <w:p w14:paraId="6C8CB253">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lang w:eastAsia="zh-CN"/>
        </w:rPr>
        <w:t>林荫路片区（CP320507-2025-06-01）土地征收成片开发方案</w:t>
      </w:r>
      <w:r>
        <w:t>片区内</w:t>
      </w:r>
      <w:r>
        <w:rPr>
          <w:rFonts w:hint="eastAsia"/>
          <w:lang w:val="en-US" w:eastAsia="zh-CN"/>
        </w:rPr>
        <w:t>公用设施用地、居住</w:t>
      </w:r>
      <w:r>
        <w:t>用地</w:t>
      </w:r>
      <w:r>
        <w:rPr>
          <w:rFonts w:hint="eastAsia"/>
          <w:lang w:eastAsia="zh-CN"/>
        </w:rPr>
        <w:t>（安置房）、</w:t>
      </w:r>
      <w:r>
        <w:t>绿地与开敞空间用地、交通运输用地属于公益性用地，公益性用地占比</w:t>
      </w:r>
      <w:r>
        <w:rPr>
          <w:rFonts w:hint="eastAsia"/>
          <w:lang w:val="en-US" w:eastAsia="zh-CN"/>
        </w:rPr>
        <w:t>45.41</w:t>
      </w:r>
      <w:r>
        <w:t>%，片区公益性用地大于</w:t>
      </w:r>
      <w:r>
        <w:rPr>
          <w:rFonts w:hint="eastAsia"/>
          <w:lang w:val="en-US" w:eastAsia="zh-CN"/>
        </w:rPr>
        <w:t>40</w:t>
      </w:r>
      <w:r>
        <w:t>%</w:t>
      </w:r>
      <w:r>
        <w:rPr>
          <w:rFonts w:hint="eastAsia"/>
          <w:lang w:eastAsia="zh-CN"/>
        </w:rPr>
        <w:t>。</w:t>
      </w:r>
      <w:r>
        <w:t>符合《江苏省自然资源厅关于加快推进土地征收成片开发方案编制工作的通知》（苏自然资发〔2021〕138号）中</w:t>
      </w:r>
      <w:r>
        <w:rPr>
          <w:rFonts w:hint="eastAsia"/>
          <w:lang w:eastAsia="zh-CN"/>
        </w:rPr>
        <w:t>“</w:t>
      </w:r>
      <w:r>
        <w:t>城市新区类和产城融合类开发片区公益性用地比例一般不低于40%”的规定。</w:t>
      </w:r>
    </w:p>
    <w:p w14:paraId="5F430BED">
      <w:pPr>
        <w:keepLines w:val="0"/>
        <w:pageBreakBefore w:val="0"/>
        <w:kinsoku/>
        <w:wordWrap/>
        <w:overflowPunct/>
        <w:topLinePunct w:val="0"/>
        <w:autoSpaceDE/>
        <w:autoSpaceDN/>
        <w:bidi w:val="0"/>
        <w:adjustRightInd/>
        <w:snapToGrid/>
        <w:spacing w:line="560" w:lineRule="exact"/>
        <w:textAlignment w:val="auto"/>
      </w:pPr>
      <w:r>
        <w:br w:type="page"/>
      </w:r>
    </w:p>
    <w:p w14:paraId="500DCFE3">
      <w:pPr>
        <w:keepLines w:val="0"/>
        <w:pageBreakBefore w:val="0"/>
        <w:kinsoku/>
        <w:wordWrap/>
        <w:overflowPunct/>
        <w:topLinePunct w:val="0"/>
        <w:autoSpaceDE/>
        <w:autoSpaceDN/>
        <w:bidi w:val="0"/>
        <w:adjustRightInd/>
        <w:snapToGrid/>
        <w:spacing w:line="560" w:lineRule="exact"/>
        <w:jc w:val="center"/>
        <w:textAlignment w:val="auto"/>
      </w:pPr>
      <w:r>
        <w:t>表</w:t>
      </w:r>
      <w:r>
        <w:rPr>
          <w:rFonts w:hint="eastAsia"/>
        </w:rPr>
        <w:t xml:space="preserve"> </w:t>
      </w:r>
      <w:r>
        <w:t xml:space="preserve"> 成片开发片区公益性用地占比</w:t>
      </w:r>
    </w:p>
    <w:p w14:paraId="4C416EB2">
      <w:pPr>
        <w:keepLines w:val="0"/>
        <w:pageBreakBefore w:val="0"/>
        <w:kinsoku/>
        <w:wordWrap/>
        <w:overflowPunct/>
        <w:topLinePunct w:val="0"/>
        <w:autoSpaceDE/>
        <w:autoSpaceDN/>
        <w:bidi w:val="0"/>
        <w:adjustRightInd/>
        <w:snapToGrid/>
        <w:spacing w:line="560" w:lineRule="exact"/>
        <w:jc w:val="right"/>
        <w:textAlignment w:val="auto"/>
      </w:pPr>
      <w:r>
        <w:t>单位：公顷</w:t>
      </w:r>
    </w:p>
    <w:tbl>
      <w:tblPr>
        <w:tblStyle w:val="7"/>
        <w:tblW w:w="0" w:type="auto"/>
        <w:tblInd w:w="0" w:type="dxa"/>
        <w:tblLayout w:type="fixed"/>
        <w:tblCellMar>
          <w:top w:w="0" w:type="dxa"/>
          <w:left w:w="108" w:type="dxa"/>
          <w:bottom w:w="0" w:type="dxa"/>
          <w:right w:w="108" w:type="dxa"/>
        </w:tblCellMar>
      </w:tblPr>
      <w:tblGrid>
        <w:gridCol w:w="912"/>
        <w:gridCol w:w="1696"/>
        <w:gridCol w:w="1234"/>
        <w:gridCol w:w="1066"/>
        <w:gridCol w:w="1117"/>
        <w:gridCol w:w="1252"/>
        <w:gridCol w:w="1239"/>
      </w:tblGrid>
      <w:tr w14:paraId="644443AD">
        <w:tblPrEx>
          <w:tblCellMar>
            <w:top w:w="0" w:type="dxa"/>
            <w:left w:w="108" w:type="dxa"/>
            <w:bottom w:w="0" w:type="dxa"/>
            <w:right w:w="108" w:type="dxa"/>
          </w:tblCellMar>
        </w:tblPrEx>
        <w:trPr>
          <w:trHeight w:val="435" w:hRule="atLeast"/>
        </w:trPr>
        <w:tc>
          <w:tcPr>
            <w:tcW w:w="912" w:type="dxa"/>
            <w:vMerge w:val="restart"/>
            <w:tcBorders>
              <w:top w:val="single" w:color="auto" w:sz="8" w:space="0"/>
              <w:left w:val="single" w:color="auto" w:sz="8" w:space="0"/>
              <w:bottom w:val="single" w:color="000000" w:sz="8" w:space="0"/>
              <w:right w:val="single" w:color="auto" w:sz="8" w:space="0"/>
            </w:tcBorders>
            <w:shd w:val="clear" w:color="auto" w:fill="auto"/>
            <w:noWrap/>
            <w:vAlign w:val="center"/>
          </w:tcPr>
          <w:p w14:paraId="103A53AC">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
                <w:bCs/>
                <w:color w:val="000000"/>
                <w:kern w:val="0"/>
                <w:sz w:val="21"/>
                <w:szCs w:val="21"/>
              </w:rPr>
            </w:pPr>
            <w:r>
              <w:rPr>
                <w:rFonts w:eastAsia="仿宋"/>
                <w:b/>
                <w:bCs/>
                <w:color w:val="000000"/>
                <w:kern w:val="0"/>
                <w:sz w:val="21"/>
                <w:szCs w:val="21"/>
              </w:rPr>
              <w:t>行政区名称</w:t>
            </w:r>
          </w:p>
        </w:tc>
        <w:tc>
          <w:tcPr>
            <w:tcW w:w="1696" w:type="dxa"/>
            <w:vMerge w:val="restart"/>
            <w:tcBorders>
              <w:top w:val="single" w:color="auto" w:sz="8" w:space="0"/>
              <w:left w:val="single" w:color="auto" w:sz="8" w:space="0"/>
              <w:bottom w:val="single" w:color="000000" w:sz="8" w:space="0"/>
              <w:right w:val="single" w:color="auto" w:sz="8" w:space="0"/>
            </w:tcBorders>
            <w:shd w:val="clear" w:color="auto" w:fill="auto"/>
            <w:noWrap/>
            <w:vAlign w:val="center"/>
          </w:tcPr>
          <w:p w14:paraId="3619CBC5">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
                <w:bCs/>
                <w:color w:val="000000"/>
                <w:kern w:val="0"/>
                <w:sz w:val="21"/>
                <w:szCs w:val="21"/>
              </w:rPr>
            </w:pPr>
            <w:r>
              <w:rPr>
                <w:rFonts w:eastAsia="仿宋"/>
                <w:b/>
                <w:bCs/>
                <w:color w:val="000000"/>
                <w:kern w:val="0"/>
                <w:sz w:val="21"/>
                <w:szCs w:val="21"/>
              </w:rPr>
              <w:t>片区编号</w:t>
            </w:r>
          </w:p>
        </w:tc>
        <w:tc>
          <w:tcPr>
            <w:tcW w:w="1234"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0E46A9A3">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
                <w:bCs/>
                <w:color w:val="000000"/>
                <w:kern w:val="0"/>
                <w:sz w:val="21"/>
                <w:szCs w:val="21"/>
              </w:rPr>
            </w:pPr>
            <w:r>
              <w:rPr>
                <w:rFonts w:eastAsia="仿宋"/>
                <w:b/>
                <w:bCs/>
                <w:color w:val="000000"/>
                <w:kern w:val="0"/>
                <w:sz w:val="21"/>
                <w:szCs w:val="21"/>
              </w:rPr>
              <w:t>开发片区名称</w:t>
            </w:r>
          </w:p>
        </w:tc>
        <w:tc>
          <w:tcPr>
            <w:tcW w:w="1066" w:type="dxa"/>
            <w:vMerge w:val="restart"/>
            <w:tcBorders>
              <w:top w:val="single" w:color="auto" w:sz="8" w:space="0"/>
              <w:left w:val="single" w:color="auto" w:sz="8" w:space="0"/>
              <w:bottom w:val="single" w:color="000000" w:sz="8" w:space="0"/>
              <w:right w:val="single" w:color="auto" w:sz="8" w:space="0"/>
            </w:tcBorders>
            <w:shd w:val="clear" w:color="auto" w:fill="auto"/>
            <w:noWrap/>
            <w:vAlign w:val="center"/>
          </w:tcPr>
          <w:p w14:paraId="107754D4">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
                <w:bCs/>
                <w:color w:val="000000"/>
                <w:kern w:val="0"/>
                <w:sz w:val="21"/>
                <w:szCs w:val="21"/>
              </w:rPr>
            </w:pPr>
            <w:r>
              <w:rPr>
                <w:rFonts w:eastAsia="仿宋"/>
                <w:b/>
                <w:bCs/>
                <w:color w:val="000000"/>
                <w:kern w:val="0"/>
                <w:sz w:val="21"/>
                <w:szCs w:val="21"/>
              </w:rPr>
              <w:t>片区面积</w:t>
            </w:r>
          </w:p>
        </w:tc>
        <w:tc>
          <w:tcPr>
            <w:tcW w:w="1117" w:type="dxa"/>
            <w:vMerge w:val="restart"/>
            <w:tcBorders>
              <w:top w:val="single" w:color="auto" w:sz="8" w:space="0"/>
              <w:left w:val="single" w:color="auto" w:sz="8" w:space="0"/>
              <w:bottom w:val="single" w:color="000000" w:sz="8" w:space="0"/>
              <w:right w:val="single" w:color="auto" w:sz="8" w:space="0"/>
            </w:tcBorders>
            <w:shd w:val="clear" w:color="auto" w:fill="auto"/>
            <w:noWrap/>
            <w:vAlign w:val="center"/>
          </w:tcPr>
          <w:p w14:paraId="30915E9C">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
                <w:bCs/>
                <w:color w:val="000000"/>
                <w:kern w:val="0"/>
                <w:sz w:val="21"/>
                <w:szCs w:val="21"/>
              </w:rPr>
            </w:pPr>
            <w:r>
              <w:rPr>
                <w:rFonts w:eastAsia="仿宋"/>
                <w:b/>
                <w:bCs/>
                <w:color w:val="000000"/>
                <w:kern w:val="0"/>
                <w:sz w:val="21"/>
                <w:szCs w:val="21"/>
              </w:rPr>
              <w:t>公益性用地面积</w:t>
            </w:r>
          </w:p>
        </w:tc>
        <w:tc>
          <w:tcPr>
            <w:tcW w:w="1252" w:type="dxa"/>
            <w:vMerge w:val="restart"/>
            <w:tcBorders>
              <w:top w:val="single" w:color="auto" w:sz="8" w:space="0"/>
              <w:left w:val="single" w:color="auto" w:sz="8" w:space="0"/>
              <w:bottom w:val="single" w:color="000000" w:sz="8" w:space="0"/>
              <w:right w:val="single" w:color="auto" w:sz="8" w:space="0"/>
            </w:tcBorders>
            <w:shd w:val="clear" w:color="auto" w:fill="auto"/>
            <w:noWrap/>
            <w:vAlign w:val="center"/>
          </w:tcPr>
          <w:p w14:paraId="147AC9BE">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
                <w:bCs/>
                <w:color w:val="000000"/>
                <w:kern w:val="0"/>
                <w:sz w:val="21"/>
                <w:szCs w:val="21"/>
              </w:rPr>
            </w:pPr>
            <w:r>
              <w:rPr>
                <w:rFonts w:eastAsia="仿宋"/>
                <w:b/>
                <w:bCs/>
                <w:color w:val="000000"/>
                <w:kern w:val="0"/>
                <w:sz w:val="21"/>
                <w:szCs w:val="21"/>
              </w:rPr>
              <w:t>公益性用地占比</w:t>
            </w:r>
          </w:p>
        </w:tc>
        <w:tc>
          <w:tcPr>
            <w:tcW w:w="1239"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0FD0C53D">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
                <w:bCs/>
                <w:color w:val="000000"/>
                <w:kern w:val="0"/>
                <w:sz w:val="21"/>
                <w:szCs w:val="21"/>
              </w:rPr>
            </w:pPr>
            <w:r>
              <w:rPr>
                <w:rFonts w:eastAsia="仿宋"/>
                <w:b/>
                <w:bCs/>
                <w:color w:val="000000"/>
                <w:kern w:val="0"/>
                <w:sz w:val="21"/>
                <w:szCs w:val="21"/>
              </w:rPr>
              <w:t>备注</w:t>
            </w:r>
          </w:p>
        </w:tc>
      </w:tr>
      <w:tr w14:paraId="1E14858D">
        <w:tblPrEx>
          <w:tblCellMar>
            <w:top w:w="0" w:type="dxa"/>
            <w:left w:w="108" w:type="dxa"/>
            <w:bottom w:w="0" w:type="dxa"/>
            <w:right w:w="108" w:type="dxa"/>
          </w:tblCellMar>
        </w:tblPrEx>
        <w:trPr>
          <w:trHeight w:val="380" w:hRule="atLeast"/>
        </w:trPr>
        <w:tc>
          <w:tcPr>
            <w:tcW w:w="912" w:type="dxa"/>
            <w:vMerge w:val="continue"/>
            <w:tcBorders>
              <w:top w:val="single" w:color="auto" w:sz="8" w:space="0"/>
              <w:left w:val="single" w:color="auto" w:sz="8" w:space="0"/>
              <w:bottom w:val="single" w:color="000000" w:sz="8" w:space="0"/>
              <w:right w:val="single" w:color="auto" w:sz="8" w:space="0"/>
            </w:tcBorders>
            <w:vAlign w:val="center"/>
          </w:tcPr>
          <w:p w14:paraId="360B38B4">
            <w:pPr>
              <w:keepLines w:val="0"/>
              <w:pageBreakBefore w:val="0"/>
              <w:widowControl/>
              <w:kinsoku/>
              <w:wordWrap/>
              <w:overflowPunct/>
              <w:topLinePunct w:val="0"/>
              <w:autoSpaceDE/>
              <w:autoSpaceDN/>
              <w:bidi w:val="0"/>
              <w:adjustRightInd/>
              <w:snapToGrid/>
              <w:spacing w:line="560" w:lineRule="exact"/>
              <w:jc w:val="left"/>
              <w:textAlignment w:val="auto"/>
              <w:rPr>
                <w:rFonts w:eastAsia="仿宋"/>
                <w:b/>
                <w:bCs/>
                <w:color w:val="000000"/>
                <w:kern w:val="0"/>
                <w:sz w:val="21"/>
                <w:szCs w:val="21"/>
              </w:rPr>
            </w:pPr>
          </w:p>
        </w:tc>
        <w:tc>
          <w:tcPr>
            <w:tcW w:w="1696" w:type="dxa"/>
            <w:vMerge w:val="continue"/>
            <w:tcBorders>
              <w:top w:val="single" w:color="auto" w:sz="8" w:space="0"/>
              <w:left w:val="single" w:color="auto" w:sz="8" w:space="0"/>
              <w:bottom w:val="single" w:color="000000" w:sz="8" w:space="0"/>
              <w:right w:val="single" w:color="auto" w:sz="8" w:space="0"/>
            </w:tcBorders>
            <w:vAlign w:val="center"/>
          </w:tcPr>
          <w:p w14:paraId="0B882717">
            <w:pPr>
              <w:keepLines w:val="0"/>
              <w:pageBreakBefore w:val="0"/>
              <w:widowControl/>
              <w:kinsoku/>
              <w:wordWrap/>
              <w:overflowPunct/>
              <w:topLinePunct w:val="0"/>
              <w:autoSpaceDE/>
              <w:autoSpaceDN/>
              <w:bidi w:val="0"/>
              <w:adjustRightInd/>
              <w:snapToGrid/>
              <w:spacing w:line="560" w:lineRule="exact"/>
              <w:jc w:val="left"/>
              <w:textAlignment w:val="auto"/>
              <w:rPr>
                <w:rFonts w:eastAsia="仿宋"/>
                <w:b/>
                <w:bCs/>
                <w:color w:val="000000"/>
                <w:kern w:val="0"/>
                <w:sz w:val="21"/>
                <w:szCs w:val="21"/>
              </w:rPr>
            </w:pPr>
          </w:p>
        </w:tc>
        <w:tc>
          <w:tcPr>
            <w:tcW w:w="1234" w:type="dxa"/>
            <w:vMerge w:val="continue"/>
            <w:tcBorders>
              <w:top w:val="single" w:color="auto" w:sz="8" w:space="0"/>
              <w:left w:val="single" w:color="auto" w:sz="8" w:space="0"/>
              <w:bottom w:val="single" w:color="000000" w:sz="8" w:space="0"/>
              <w:right w:val="single" w:color="auto" w:sz="8" w:space="0"/>
            </w:tcBorders>
            <w:vAlign w:val="center"/>
          </w:tcPr>
          <w:p w14:paraId="3B2AE0C1">
            <w:pPr>
              <w:keepLines w:val="0"/>
              <w:pageBreakBefore w:val="0"/>
              <w:widowControl/>
              <w:kinsoku/>
              <w:wordWrap/>
              <w:overflowPunct/>
              <w:topLinePunct w:val="0"/>
              <w:autoSpaceDE/>
              <w:autoSpaceDN/>
              <w:bidi w:val="0"/>
              <w:adjustRightInd/>
              <w:snapToGrid/>
              <w:spacing w:line="560" w:lineRule="exact"/>
              <w:jc w:val="left"/>
              <w:textAlignment w:val="auto"/>
              <w:rPr>
                <w:rFonts w:eastAsia="仿宋"/>
                <w:b/>
                <w:bCs/>
                <w:color w:val="000000"/>
                <w:kern w:val="0"/>
                <w:sz w:val="21"/>
                <w:szCs w:val="21"/>
              </w:rPr>
            </w:pPr>
          </w:p>
        </w:tc>
        <w:tc>
          <w:tcPr>
            <w:tcW w:w="1066" w:type="dxa"/>
            <w:vMerge w:val="continue"/>
            <w:tcBorders>
              <w:top w:val="single" w:color="auto" w:sz="8" w:space="0"/>
              <w:left w:val="single" w:color="auto" w:sz="8" w:space="0"/>
              <w:bottom w:val="single" w:color="000000" w:sz="8" w:space="0"/>
              <w:right w:val="single" w:color="auto" w:sz="8" w:space="0"/>
            </w:tcBorders>
            <w:vAlign w:val="center"/>
          </w:tcPr>
          <w:p w14:paraId="23DAA8BA">
            <w:pPr>
              <w:keepLines w:val="0"/>
              <w:pageBreakBefore w:val="0"/>
              <w:widowControl/>
              <w:kinsoku/>
              <w:wordWrap/>
              <w:overflowPunct/>
              <w:topLinePunct w:val="0"/>
              <w:autoSpaceDE/>
              <w:autoSpaceDN/>
              <w:bidi w:val="0"/>
              <w:adjustRightInd/>
              <w:snapToGrid/>
              <w:spacing w:line="560" w:lineRule="exact"/>
              <w:jc w:val="left"/>
              <w:textAlignment w:val="auto"/>
              <w:rPr>
                <w:rFonts w:eastAsia="仿宋"/>
                <w:b/>
                <w:bCs/>
                <w:color w:val="000000"/>
                <w:kern w:val="0"/>
                <w:sz w:val="21"/>
                <w:szCs w:val="21"/>
              </w:rPr>
            </w:pPr>
          </w:p>
        </w:tc>
        <w:tc>
          <w:tcPr>
            <w:tcW w:w="1117" w:type="dxa"/>
            <w:vMerge w:val="continue"/>
            <w:tcBorders>
              <w:top w:val="single" w:color="auto" w:sz="8" w:space="0"/>
              <w:left w:val="single" w:color="auto" w:sz="8" w:space="0"/>
              <w:bottom w:val="single" w:color="000000" w:sz="8" w:space="0"/>
              <w:right w:val="single" w:color="auto" w:sz="8" w:space="0"/>
            </w:tcBorders>
            <w:vAlign w:val="center"/>
          </w:tcPr>
          <w:p w14:paraId="53A70C03">
            <w:pPr>
              <w:keepLines w:val="0"/>
              <w:pageBreakBefore w:val="0"/>
              <w:widowControl/>
              <w:kinsoku/>
              <w:wordWrap/>
              <w:overflowPunct/>
              <w:topLinePunct w:val="0"/>
              <w:autoSpaceDE/>
              <w:autoSpaceDN/>
              <w:bidi w:val="0"/>
              <w:adjustRightInd/>
              <w:snapToGrid/>
              <w:spacing w:line="560" w:lineRule="exact"/>
              <w:jc w:val="left"/>
              <w:textAlignment w:val="auto"/>
              <w:rPr>
                <w:rFonts w:eastAsia="仿宋"/>
                <w:b/>
                <w:bCs/>
                <w:color w:val="000000"/>
                <w:kern w:val="0"/>
                <w:sz w:val="21"/>
                <w:szCs w:val="21"/>
              </w:rPr>
            </w:pPr>
          </w:p>
        </w:tc>
        <w:tc>
          <w:tcPr>
            <w:tcW w:w="1252" w:type="dxa"/>
            <w:vMerge w:val="continue"/>
            <w:tcBorders>
              <w:top w:val="single" w:color="auto" w:sz="8" w:space="0"/>
              <w:left w:val="single" w:color="auto" w:sz="8" w:space="0"/>
              <w:bottom w:val="single" w:color="000000" w:sz="8" w:space="0"/>
              <w:right w:val="single" w:color="auto" w:sz="8" w:space="0"/>
            </w:tcBorders>
            <w:vAlign w:val="center"/>
          </w:tcPr>
          <w:p w14:paraId="5C871EB8">
            <w:pPr>
              <w:keepLines w:val="0"/>
              <w:pageBreakBefore w:val="0"/>
              <w:widowControl/>
              <w:kinsoku/>
              <w:wordWrap/>
              <w:overflowPunct/>
              <w:topLinePunct w:val="0"/>
              <w:autoSpaceDE/>
              <w:autoSpaceDN/>
              <w:bidi w:val="0"/>
              <w:adjustRightInd/>
              <w:snapToGrid/>
              <w:spacing w:line="560" w:lineRule="exact"/>
              <w:jc w:val="left"/>
              <w:textAlignment w:val="auto"/>
              <w:rPr>
                <w:rFonts w:eastAsia="仿宋"/>
                <w:b/>
                <w:bCs/>
                <w:color w:val="000000"/>
                <w:kern w:val="0"/>
                <w:sz w:val="21"/>
                <w:szCs w:val="21"/>
              </w:rPr>
            </w:pPr>
          </w:p>
        </w:tc>
        <w:tc>
          <w:tcPr>
            <w:tcW w:w="1239" w:type="dxa"/>
            <w:vMerge w:val="continue"/>
            <w:tcBorders>
              <w:top w:val="single" w:color="auto" w:sz="8" w:space="0"/>
              <w:left w:val="single" w:color="auto" w:sz="8" w:space="0"/>
              <w:bottom w:val="single" w:color="000000" w:sz="8" w:space="0"/>
              <w:right w:val="single" w:color="auto" w:sz="8" w:space="0"/>
            </w:tcBorders>
            <w:vAlign w:val="center"/>
          </w:tcPr>
          <w:p w14:paraId="3F2B43F5">
            <w:pPr>
              <w:keepLines w:val="0"/>
              <w:pageBreakBefore w:val="0"/>
              <w:widowControl/>
              <w:kinsoku/>
              <w:wordWrap/>
              <w:overflowPunct/>
              <w:topLinePunct w:val="0"/>
              <w:autoSpaceDE/>
              <w:autoSpaceDN/>
              <w:bidi w:val="0"/>
              <w:adjustRightInd/>
              <w:snapToGrid/>
              <w:spacing w:line="560" w:lineRule="exact"/>
              <w:jc w:val="left"/>
              <w:textAlignment w:val="auto"/>
              <w:rPr>
                <w:rFonts w:eastAsia="仿宋"/>
                <w:b/>
                <w:bCs/>
                <w:color w:val="000000"/>
                <w:kern w:val="0"/>
                <w:sz w:val="21"/>
                <w:szCs w:val="21"/>
              </w:rPr>
            </w:pPr>
          </w:p>
        </w:tc>
      </w:tr>
      <w:tr w14:paraId="5403ABAF">
        <w:tblPrEx>
          <w:tblCellMar>
            <w:top w:w="0" w:type="dxa"/>
            <w:left w:w="108" w:type="dxa"/>
            <w:bottom w:w="0" w:type="dxa"/>
            <w:right w:w="108" w:type="dxa"/>
          </w:tblCellMar>
        </w:tblPrEx>
        <w:trPr>
          <w:trHeight w:val="57" w:hRule="atLeast"/>
        </w:trPr>
        <w:tc>
          <w:tcPr>
            <w:tcW w:w="912" w:type="dxa"/>
            <w:tcBorders>
              <w:top w:val="nil"/>
              <w:left w:val="single" w:color="auto" w:sz="8" w:space="0"/>
              <w:bottom w:val="single" w:color="auto" w:sz="8" w:space="0"/>
              <w:right w:val="single" w:color="auto" w:sz="8" w:space="0"/>
            </w:tcBorders>
            <w:shd w:val="clear" w:color="auto" w:fill="auto"/>
            <w:noWrap/>
            <w:vAlign w:val="center"/>
          </w:tcPr>
          <w:p w14:paraId="15CD2E1E">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Cs/>
                <w:color w:val="000000"/>
                <w:kern w:val="0"/>
                <w:sz w:val="21"/>
                <w:szCs w:val="21"/>
              </w:rPr>
            </w:pPr>
            <w:r>
              <w:rPr>
                <w:rFonts w:hint="eastAsia" w:eastAsia="仿宋"/>
                <w:bCs/>
                <w:color w:val="000000"/>
                <w:kern w:val="0"/>
                <w:sz w:val="21"/>
                <w:szCs w:val="21"/>
                <w:lang w:val="en-US" w:eastAsia="zh-CN"/>
              </w:rPr>
              <w:t>元和</w:t>
            </w:r>
            <w:r>
              <w:rPr>
                <w:rFonts w:eastAsia="仿宋"/>
                <w:bCs/>
                <w:color w:val="000000"/>
                <w:kern w:val="0"/>
                <w:sz w:val="21"/>
                <w:szCs w:val="21"/>
              </w:rPr>
              <w:t>街道</w:t>
            </w:r>
          </w:p>
        </w:tc>
        <w:tc>
          <w:tcPr>
            <w:tcW w:w="1696" w:type="dxa"/>
            <w:tcBorders>
              <w:top w:val="nil"/>
              <w:left w:val="nil"/>
              <w:bottom w:val="single" w:color="auto" w:sz="8" w:space="0"/>
              <w:right w:val="single" w:color="auto" w:sz="8" w:space="0"/>
            </w:tcBorders>
            <w:shd w:val="clear" w:color="auto" w:fill="auto"/>
            <w:noWrap/>
            <w:vAlign w:val="center"/>
          </w:tcPr>
          <w:p w14:paraId="4B8A935A">
            <w:pPr>
              <w:keepLines w:val="0"/>
              <w:pageBreakBefore w:val="0"/>
              <w:widowControl/>
              <w:kinsoku/>
              <w:wordWrap/>
              <w:overflowPunct/>
              <w:topLinePunct w:val="0"/>
              <w:autoSpaceDE/>
              <w:autoSpaceDN/>
              <w:bidi w:val="0"/>
              <w:adjustRightInd/>
              <w:snapToGrid/>
              <w:spacing w:line="560" w:lineRule="exact"/>
              <w:jc w:val="center"/>
              <w:textAlignment w:val="auto"/>
              <w:rPr>
                <w:rFonts w:hint="eastAsia" w:eastAsia="仿宋"/>
                <w:bCs/>
                <w:color w:val="000000"/>
                <w:kern w:val="0"/>
                <w:sz w:val="21"/>
                <w:szCs w:val="21"/>
                <w:lang w:val="en-US" w:eastAsia="zh-CN"/>
              </w:rPr>
            </w:pPr>
            <w:r>
              <w:rPr>
                <w:rFonts w:hint="eastAsia" w:eastAsia="仿宋"/>
                <w:bCs/>
                <w:color w:val="000000"/>
                <w:kern w:val="0"/>
                <w:sz w:val="21"/>
                <w:szCs w:val="21"/>
              </w:rPr>
              <w:t>CP320507-202</w:t>
            </w:r>
            <w:r>
              <w:rPr>
                <w:rFonts w:hint="eastAsia" w:eastAsia="仿宋"/>
                <w:bCs/>
                <w:color w:val="000000"/>
                <w:kern w:val="0"/>
                <w:sz w:val="21"/>
                <w:szCs w:val="21"/>
                <w:lang w:val="en-US" w:eastAsia="zh-CN"/>
              </w:rPr>
              <w:t>5</w:t>
            </w:r>
            <w:r>
              <w:rPr>
                <w:rFonts w:hint="eastAsia" w:eastAsia="仿宋"/>
                <w:bCs/>
                <w:color w:val="000000"/>
                <w:kern w:val="0"/>
                <w:sz w:val="21"/>
                <w:szCs w:val="21"/>
              </w:rPr>
              <w:t>-0</w:t>
            </w:r>
            <w:r>
              <w:rPr>
                <w:rFonts w:hint="eastAsia" w:eastAsia="仿宋"/>
                <w:bCs/>
                <w:color w:val="000000"/>
                <w:kern w:val="0"/>
                <w:sz w:val="21"/>
                <w:szCs w:val="21"/>
                <w:lang w:val="en-US" w:eastAsia="zh-CN"/>
              </w:rPr>
              <w:t>6</w:t>
            </w:r>
            <w:r>
              <w:rPr>
                <w:rFonts w:hint="eastAsia" w:eastAsia="仿宋"/>
                <w:bCs/>
                <w:color w:val="000000"/>
                <w:kern w:val="0"/>
                <w:sz w:val="21"/>
                <w:szCs w:val="21"/>
              </w:rPr>
              <w:t>-0</w:t>
            </w:r>
            <w:r>
              <w:rPr>
                <w:rFonts w:hint="eastAsia" w:eastAsia="仿宋"/>
                <w:bCs/>
                <w:color w:val="000000"/>
                <w:kern w:val="0"/>
                <w:sz w:val="21"/>
                <w:szCs w:val="21"/>
                <w:lang w:val="en-US" w:eastAsia="zh-CN"/>
              </w:rPr>
              <w:t>1</w:t>
            </w:r>
          </w:p>
        </w:tc>
        <w:tc>
          <w:tcPr>
            <w:tcW w:w="1234" w:type="dxa"/>
            <w:tcBorders>
              <w:top w:val="nil"/>
              <w:left w:val="nil"/>
              <w:bottom w:val="single" w:color="auto" w:sz="8" w:space="0"/>
              <w:right w:val="single" w:color="auto" w:sz="8" w:space="0"/>
            </w:tcBorders>
            <w:shd w:val="clear" w:color="auto" w:fill="auto"/>
            <w:vAlign w:val="center"/>
          </w:tcPr>
          <w:p w14:paraId="78FBD4BE">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Cs/>
                <w:color w:val="000000"/>
                <w:kern w:val="0"/>
                <w:sz w:val="21"/>
                <w:szCs w:val="21"/>
              </w:rPr>
            </w:pPr>
            <w:r>
              <w:rPr>
                <w:rFonts w:hint="eastAsia" w:eastAsia="仿宋"/>
                <w:bCs/>
                <w:color w:val="000000"/>
                <w:kern w:val="0"/>
                <w:sz w:val="21"/>
                <w:szCs w:val="21"/>
              </w:rPr>
              <w:t>林荫路片区</w:t>
            </w:r>
          </w:p>
        </w:tc>
        <w:tc>
          <w:tcPr>
            <w:tcW w:w="1066" w:type="dxa"/>
            <w:tcBorders>
              <w:top w:val="nil"/>
              <w:left w:val="nil"/>
              <w:bottom w:val="single" w:color="auto" w:sz="8" w:space="0"/>
              <w:right w:val="single" w:color="auto" w:sz="8" w:space="0"/>
            </w:tcBorders>
            <w:shd w:val="clear" w:color="auto" w:fill="auto"/>
            <w:noWrap/>
            <w:vAlign w:val="center"/>
          </w:tcPr>
          <w:p w14:paraId="20CE77CA">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Cs/>
                <w:color w:val="000000"/>
                <w:kern w:val="0"/>
                <w:sz w:val="21"/>
                <w:szCs w:val="21"/>
              </w:rPr>
            </w:pPr>
            <w:r>
              <w:rPr>
                <w:rFonts w:hint="eastAsia" w:eastAsia="仿宋"/>
                <w:bCs/>
                <w:color w:val="000000"/>
                <w:kern w:val="0"/>
                <w:sz w:val="21"/>
                <w:szCs w:val="21"/>
              </w:rPr>
              <w:t>91</w:t>
            </w:r>
            <w:r>
              <w:rPr>
                <w:rFonts w:hint="eastAsia" w:eastAsia="仿宋"/>
                <w:bCs/>
                <w:color w:val="000000"/>
                <w:kern w:val="0"/>
                <w:sz w:val="21"/>
                <w:szCs w:val="21"/>
                <w:lang w:eastAsia="zh-CN"/>
              </w:rPr>
              <w:t>.</w:t>
            </w:r>
            <w:r>
              <w:rPr>
                <w:rFonts w:hint="eastAsia" w:eastAsia="仿宋"/>
                <w:bCs/>
                <w:color w:val="000000"/>
                <w:kern w:val="0"/>
                <w:sz w:val="21"/>
                <w:szCs w:val="21"/>
              </w:rPr>
              <w:t>1653</w:t>
            </w:r>
          </w:p>
        </w:tc>
        <w:tc>
          <w:tcPr>
            <w:tcW w:w="1117" w:type="dxa"/>
            <w:tcBorders>
              <w:top w:val="nil"/>
              <w:left w:val="nil"/>
              <w:bottom w:val="single" w:color="auto" w:sz="8" w:space="0"/>
              <w:right w:val="single" w:color="auto" w:sz="8" w:space="0"/>
            </w:tcBorders>
            <w:shd w:val="clear" w:color="000000" w:fill="FFFFFF"/>
            <w:noWrap/>
            <w:vAlign w:val="center"/>
          </w:tcPr>
          <w:p w14:paraId="7E4DAE5C">
            <w:pPr>
              <w:keepLines w:val="0"/>
              <w:pageBreakBefore w:val="0"/>
              <w:widowControl/>
              <w:kinsoku/>
              <w:wordWrap/>
              <w:overflowPunct/>
              <w:topLinePunct w:val="0"/>
              <w:autoSpaceDE/>
              <w:autoSpaceDN/>
              <w:bidi w:val="0"/>
              <w:adjustRightInd/>
              <w:snapToGrid/>
              <w:spacing w:line="560" w:lineRule="exact"/>
              <w:jc w:val="center"/>
              <w:textAlignment w:val="auto"/>
              <w:rPr>
                <w:rFonts w:hint="default" w:eastAsia="仿宋"/>
                <w:bCs/>
                <w:color w:val="000000"/>
                <w:kern w:val="0"/>
                <w:sz w:val="21"/>
                <w:szCs w:val="21"/>
                <w:lang w:val="en-US" w:eastAsia="zh-CN"/>
              </w:rPr>
            </w:pPr>
            <w:r>
              <w:rPr>
                <w:rFonts w:hint="eastAsia" w:eastAsia="仿宋"/>
                <w:bCs/>
                <w:color w:val="000000"/>
                <w:kern w:val="0"/>
                <w:sz w:val="21"/>
                <w:szCs w:val="21"/>
                <w:lang w:val="en-US" w:eastAsia="zh-CN"/>
              </w:rPr>
              <w:t>41.3968</w:t>
            </w:r>
          </w:p>
        </w:tc>
        <w:tc>
          <w:tcPr>
            <w:tcW w:w="1252" w:type="dxa"/>
            <w:tcBorders>
              <w:top w:val="nil"/>
              <w:left w:val="nil"/>
              <w:bottom w:val="single" w:color="auto" w:sz="8" w:space="0"/>
              <w:right w:val="single" w:color="auto" w:sz="8" w:space="0"/>
            </w:tcBorders>
            <w:shd w:val="clear" w:color="auto" w:fill="auto"/>
            <w:noWrap/>
            <w:vAlign w:val="center"/>
          </w:tcPr>
          <w:p w14:paraId="2E8260FC">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Cs/>
                <w:color w:val="000000"/>
                <w:kern w:val="0"/>
                <w:sz w:val="21"/>
                <w:szCs w:val="21"/>
              </w:rPr>
            </w:pPr>
            <w:r>
              <w:rPr>
                <w:rFonts w:hint="eastAsia" w:eastAsia="仿宋"/>
                <w:bCs/>
                <w:color w:val="000000"/>
                <w:kern w:val="0"/>
                <w:sz w:val="21"/>
                <w:szCs w:val="21"/>
                <w:lang w:val="en-US" w:eastAsia="zh-CN"/>
              </w:rPr>
              <w:t>45.41</w:t>
            </w:r>
            <w:r>
              <w:rPr>
                <w:rFonts w:eastAsia="仿宋"/>
                <w:bCs/>
                <w:color w:val="000000"/>
                <w:kern w:val="0"/>
                <w:sz w:val="21"/>
                <w:szCs w:val="21"/>
              </w:rPr>
              <w:t>%</w:t>
            </w:r>
          </w:p>
        </w:tc>
        <w:tc>
          <w:tcPr>
            <w:tcW w:w="1239" w:type="dxa"/>
            <w:tcBorders>
              <w:top w:val="nil"/>
              <w:left w:val="nil"/>
              <w:bottom w:val="single" w:color="auto" w:sz="8" w:space="0"/>
              <w:right w:val="single" w:color="auto" w:sz="8" w:space="0"/>
            </w:tcBorders>
            <w:shd w:val="clear" w:color="000000" w:fill="FFFFFF"/>
            <w:vAlign w:val="center"/>
          </w:tcPr>
          <w:p w14:paraId="5D6001FF">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Cs/>
                <w:color w:val="000000"/>
                <w:kern w:val="0"/>
                <w:sz w:val="21"/>
                <w:szCs w:val="21"/>
              </w:rPr>
            </w:pPr>
            <w:r>
              <w:rPr>
                <w:rFonts w:eastAsia="仿宋"/>
                <w:bCs/>
                <w:color w:val="000000"/>
                <w:kern w:val="0"/>
                <w:sz w:val="21"/>
                <w:szCs w:val="21"/>
              </w:rPr>
              <w:t>产城融合型</w:t>
            </w:r>
          </w:p>
        </w:tc>
      </w:tr>
      <w:tr w14:paraId="77C2C1D2">
        <w:tblPrEx>
          <w:tblCellMar>
            <w:top w:w="0" w:type="dxa"/>
            <w:left w:w="108" w:type="dxa"/>
            <w:bottom w:w="0" w:type="dxa"/>
            <w:right w:w="108" w:type="dxa"/>
          </w:tblCellMar>
        </w:tblPrEx>
        <w:trPr>
          <w:trHeight w:val="57" w:hRule="atLeast"/>
        </w:trPr>
        <w:tc>
          <w:tcPr>
            <w:tcW w:w="3842" w:type="dxa"/>
            <w:gridSpan w:val="3"/>
            <w:tcBorders>
              <w:top w:val="single" w:color="auto" w:sz="8" w:space="0"/>
              <w:left w:val="single" w:color="auto" w:sz="8" w:space="0"/>
              <w:bottom w:val="single" w:color="auto" w:sz="8" w:space="0"/>
              <w:right w:val="single" w:color="000000" w:sz="8" w:space="0"/>
            </w:tcBorders>
            <w:shd w:val="clear" w:color="auto" w:fill="auto"/>
            <w:noWrap/>
            <w:vAlign w:val="center"/>
          </w:tcPr>
          <w:p w14:paraId="4CEC789E">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Cs/>
                <w:color w:val="000000"/>
                <w:kern w:val="0"/>
                <w:sz w:val="21"/>
                <w:szCs w:val="21"/>
              </w:rPr>
            </w:pPr>
            <w:r>
              <w:rPr>
                <w:rFonts w:eastAsia="仿宋"/>
                <w:bCs/>
                <w:color w:val="000000"/>
                <w:kern w:val="0"/>
                <w:sz w:val="21"/>
                <w:szCs w:val="21"/>
              </w:rPr>
              <w:t>合计</w:t>
            </w:r>
          </w:p>
        </w:tc>
        <w:tc>
          <w:tcPr>
            <w:tcW w:w="1066" w:type="dxa"/>
            <w:tcBorders>
              <w:top w:val="nil"/>
              <w:left w:val="nil"/>
              <w:bottom w:val="single" w:color="auto" w:sz="8" w:space="0"/>
              <w:right w:val="single" w:color="auto" w:sz="8" w:space="0"/>
            </w:tcBorders>
            <w:shd w:val="clear" w:color="auto" w:fill="auto"/>
            <w:noWrap/>
            <w:vAlign w:val="center"/>
          </w:tcPr>
          <w:p w14:paraId="79416FBF">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Cs/>
                <w:color w:val="000000"/>
                <w:kern w:val="0"/>
                <w:sz w:val="21"/>
                <w:szCs w:val="21"/>
              </w:rPr>
            </w:pPr>
            <w:r>
              <w:rPr>
                <w:rFonts w:hint="eastAsia" w:eastAsia="仿宋"/>
                <w:bCs/>
                <w:color w:val="000000"/>
                <w:kern w:val="0"/>
                <w:sz w:val="21"/>
                <w:szCs w:val="21"/>
              </w:rPr>
              <w:t>91</w:t>
            </w:r>
            <w:r>
              <w:rPr>
                <w:rFonts w:hint="eastAsia" w:eastAsia="仿宋"/>
                <w:bCs/>
                <w:color w:val="000000"/>
                <w:kern w:val="0"/>
                <w:sz w:val="21"/>
                <w:szCs w:val="21"/>
                <w:lang w:eastAsia="zh-CN"/>
              </w:rPr>
              <w:t>.</w:t>
            </w:r>
            <w:r>
              <w:rPr>
                <w:rFonts w:hint="eastAsia" w:eastAsia="仿宋"/>
                <w:bCs/>
                <w:color w:val="000000"/>
                <w:kern w:val="0"/>
                <w:sz w:val="21"/>
                <w:szCs w:val="21"/>
              </w:rPr>
              <w:t>1653</w:t>
            </w:r>
          </w:p>
        </w:tc>
        <w:tc>
          <w:tcPr>
            <w:tcW w:w="1117" w:type="dxa"/>
            <w:tcBorders>
              <w:top w:val="nil"/>
              <w:left w:val="nil"/>
              <w:bottom w:val="single" w:color="auto" w:sz="8" w:space="0"/>
              <w:right w:val="single" w:color="auto" w:sz="8" w:space="0"/>
            </w:tcBorders>
            <w:shd w:val="clear" w:color="000000" w:fill="FFFFFF"/>
            <w:noWrap/>
            <w:vAlign w:val="center"/>
          </w:tcPr>
          <w:p w14:paraId="1A06A3C1">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Cs/>
                <w:color w:val="000000"/>
                <w:kern w:val="0"/>
                <w:sz w:val="21"/>
                <w:szCs w:val="21"/>
              </w:rPr>
            </w:pPr>
            <w:r>
              <w:rPr>
                <w:rFonts w:hint="eastAsia" w:eastAsia="仿宋"/>
                <w:bCs/>
                <w:color w:val="000000"/>
                <w:kern w:val="0"/>
                <w:sz w:val="21"/>
                <w:szCs w:val="21"/>
                <w:lang w:val="en-US" w:eastAsia="zh-CN"/>
              </w:rPr>
              <w:t>41.3968</w:t>
            </w:r>
          </w:p>
        </w:tc>
        <w:tc>
          <w:tcPr>
            <w:tcW w:w="1252" w:type="dxa"/>
            <w:tcBorders>
              <w:top w:val="nil"/>
              <w:left w:val="nil"/>
              <w:bottom w:val="single" w:color="auto" w:sz="8" w:space="0"/>
              <w:right w:val="single" w:color="auto" w:sz="8" w:space="0"/>
            </w:tcBorders>
            <w:shd w:val="clear" w:color="auto" w:fill="auto"/>
            <w:noWrap/>
            <w:vAlign w:val="center"/>
          </w:tcPr>
          <w:p w14:paraId="2AE0A770">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Cs/>
                <w:color w:val="000000"/>
                <w:kern w:val="0"/>
                <w:sz w:val="21"/>
                <w:szCs w:val="21"/>
              </w:rPr>
            </w:pPr>
            <w:r>
              <w:rPr>
                <w:rFonts w:eastAsia="仿宋"/>
                <w:bCs/>
                <w:color w:val="000000"/>
                <w:kern w:val="0"/>
                <w:sz w:val="21"/>
                <w:szCs w:val="21"/>
              </w:rPr>
              <w:t>/</w:t>
            </w:r>
          </w:p>
        </w:tc>
        <w:tc>
          <w:tcPr>
            <w:tcW w:w="1239" w:type="dxa"/>
            <w:tcBorders>
              <w:top w:val="nil"/>
              <w:left w:val="nil"/>
              <w:bottom w:val="single" w:color="auto" w:sz="8" w:space="0"/>
              <w:right w:val="single" w:color="auto" w:sz="8" w:space="0"/>
            </w:tcBorders>
            <w:shd w:val="clear" w:color="auto" w:fill="auto"/>
            <w:noWrap/>
            <w:vAlign w:val="center"/>
          </w:tcPr>
          <w:p w14:paraId="2D1BF609">
            <w:pPr>
              <w:keepLines w:val="0"/>
              <w:pageBreakBefore w:val="0"/>
              <w:widowControl/>
              <w:kinsoku/>
              <w:wordWrap/>
              <w:overflowPunct/>
              <w:topLinePunct w:val="0"/>
              <w:autoSpaceDE/>
              <w:autoSpaceDN/>
              <w:bidi w:val="0"/>
              <w:adjustRightInd/>
              <w:snapToGrid/>
              <w:spacing w:line="560" w:lineRule="exact"/>
              <w:jc w:val="center"/>
              <w:textAlignment w:val="auto"/>
              <w:rPr>
                <w:rFonts w:eastAsia="仿宋"/>
                <w:bCs/>
                <w:color w:val="000000"/>
                <w:kern w:val="0"/>
                <w:sz w:val="21"/>
                <w:szCs w:val="21"/>
              </w:rPr>
            </w:pPr>
            <w:r>
              <w:rPr>
                <w:rFonts w:eastAsia="仿宋"/>
                <w:bCs/>
                <w:color w:val="000000"/>
                <w:kern w:val="0"/>
                <w:sz w:val="21"/>
                <w:szCs w:val="21"/>
              </w:rPr>
              <w:t>/</w:t>
            </w:r>
          </w:p>
        </w:tc>
      </w:tr>
    </w:tbl>
    <w:p w14:paraId="3E1D0F14">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六、</w:t>
      </w:r>
      <w:r>
        <w:rPr>
          <w:rFonts w:hint="eastAsia" w:ascii="黑体" w:hAnsi="黑体" w:eastAsia="黑体" w:cs="黑体"/>
          <w:b w:val="0"/>
          <w:bCs/>
        </w:rPr>
        <w:t>规划符合情况</w:t>
      </w:r>
    </w:p>
    <w:p w14:paraId="44D3AE1D">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lang w:val="en-US" w:eastAsia="zh-CN"/>
        </w:rPr>
        <w:t>1</w:t>
      </w:r>
      <w:r>
        <w:rPr>
          <w:rFonts w:hint="eastAsia" w:ascii="仿宋_GB2312" w:hAnsi="仿宋_GB2312" w:eastAsia="仿宋_GB2312" w:cs="仿宋_GB2312"/>
          <w:lang w:val="en-US" w:eastAsia="zh-CN"/>
        </w:rPr>
        <w:t>.</w:t>
      </w:r>
      <w:r>
        <w:rPr>
          <w:rFonts w:hint="eastAsia"/>
          <w:lang w:eastAsia="zh-CN"/>
        </w:rPr>
        <w:t>林荫路片区（CP320507-2025-06-01）土地征收成片开发方案</w:t>
      </w:r>
      <w:r>
        <w:t>符合国民经济和社会发展规划的发展定位、要求，已纳入国民经济和社会发展年度计划。</w:t>
      </w:r>
    </w:p>
    <w:p w14:paraId="360B87B6">
      <w:pPr>
        <w:pStyle w:val="13"/>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lang w:eastAsia="zh-CN"/>
        </w:rPr>
      </w:pPr>
      <w:r>
        <w:rPr>
          <w:rFonts w:hint="eastAsia"/>
          <w:lang w:val="en-US" w:eastAsia="zh-CN"/>
        </w:rPr>
        <w:t>2</w:t>
      </w:r>
      <w:r>
        <w:rPr>
          <w:rFonts w:hint="eastAsia" w:ascii="仿宋_GB2312" w:hAnsi="仿宋_GB2312" w:eastAsia="仿宋_GB2312" w:cs="仿宋_GB2312"/>
          <w:lang w:val="en-US" w:eastAsia="zh-CN"/>
        </w:rPr>
        <w:t>.</w:t>
      </w:r>
      <w:r>
        <w:rPr>
          <w:rFonts w:hint="eastAsia"/>
          <w:lang w:eastAsia="zh-CN"/>
        </w:rPr>
        <w:t>林荫路片区（CP320507-2025-06-01）土地征收成片开发方案</w:t>
      </w:r>
      <w:r>
        <w:t>符合</w:t>
      </w:r>
      <w:r>
        <w:rPr>
          <w:rFonts w:hint="eastAsia"/>
        </w:rPr>
        <w:t>《苏州市相城区XC0111单元及01、02、04街区详细规划》</w:t>
      </w:r>
      <w:r>
        <w:t>的规划地类要求</w:t>
      </w:r>
      <w:r>
        <w:rPr>
          <w:rFonts w:hint="eastAsia"/>
          <w:lang w:eastAsia="zh-CN"/>
        </w:rPr>
        <w:t>。</w:t>
      </w:r>
    </w:p>
    <w:p w14:paraId="5871407C">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七、</w:t>
      </w:r>
      <w:r>
        <w:rPr>
          <w:rFonts w:hint="eastAsia" w:ascii="黑体" w:hAnsi="黑体" w:eastAsia="黑体" w:cs="黑体"/>
          <w:b w:val="0"/>
          <w:bCs/>
        </w:rPr>
        <w:t>永久基本农田及生态保护红线符合情况</w:t>
      </w:r>
    </w:p>
    <w:p w14:paraId="13899066">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lang w:eastAsia="zh-CN"/>
        </w:rPr>
        <w:t>苏州市相城区林荫路片区（CP320507-2025-06-01）土地征收成片开发方案</w:t>
      </w:r>
      <w:r>
        <w:t>范围内不涉及永久基本农田、生态保护红线，符合成片开发项目送审报批的要求。</w:t>
      </w:r>
    </w:p>
    <w:p w14:paraId="65FF7D8F">
      <w:pPr>
        <w:pStyle w:val="2"/>
        <w:keepLines w:val="0"/>
        <w:pageBreakBefore w:val="0"/>
        <w:numPr>
          <w:ilvl w:val="0"/>
          <w:numId w:val="0"/>
        </w:numPr>
        <w:kinsoku/>
        <w:wordWrap/>
        <w:overflowPunct/>
        <w:topLinePunct w:val="0"/>
        <w:autoSpaceDE/>
        <w:autoSpaceDN/>
        <w:bidi w:val="0"/>
        <w:adjustRightInd/>
        <w:snapToGrid/>
        <w:spacing w:line="560" w:lineRule="exact"/>
        <w:ind w:left="720" w:leftChars="0" w:hanging="720" w:firstLineChars="0"/>
        <w:textAlignment w:val="auto"/>
      </w:pPr>
      <w:r>
        <w:rPr>
          <w:rFonts w:hint="default" w:ascii="Calibri Light" w:hAnsi="Calibri Light" w:eastAsia="仿宋_GB2312" w:cs="Times New Roman"/>
          <w:b/>
          <w:kern w:val="2"/>
          <w:sz w:val="32"/>
          <w:szCs w:val="32"/>
          <w:lang w:val="en-US" w:eastAsia="zh-CN" w:bidi="ar-SA"/>
        </w:rPr>
        <w:t>八、</w:t>
      </w:r>
      <w:r>
        <w:t>拟建设项目、开发时序和实施计划</w:t>
      </w:r>
    </w:p>
    <w:p w14:paraId="1EC7804C">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lang w:eastAsia="zh-CN"/>
        </w:rPr>
        <w:t>苏州市相城区林荫路片区（CP320507-2025-06-01）土地征收成片开发方案</w:t>
      </w:r>
      <w:r>
        <w:t>内拟建设项目以居住为主，配套建设基础设施类项目。方案批准后五年内完成土地征收，五年内完成片区建设工作。</w:t>
      </w:r>
    </w:p>
    <w:p w14:paraId="63E0699E">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九、</w:t>
      </w:r>
      <w:r>
        <w:rPr>
          <w:rFonts w:hint="eastAsia" w:ascii="黑体" w:hAnsi="黑体" w:eastAsia="黑体" w:cs="黑体"/>
          <w:b w:val="0"/>
          <w:bCs/>
        </w:rPr>
        <w:t>选址适宜性</w:t>
      </w:r>
    </w:p>
    <w:p w14:paraId="14092051">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t>项目选址未见现状地质灾害，未处于地质灾害易发区。</w:t>
      </w:r>
    </w:p>
    <w:p w14:paraId="33F3C238">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十、</w:t>
      </w:r>
      <w:r>
        <w:rPr>
          <w:rFonts w:hint="eastAsia" w:ascii="黑体" w:hAnsi="黑体" w:eastAsia="黑体" w:cs="黑体"/>
          <w:b w:val="0"/>
          <w:bCs/>
        </w:rPr>
        <w:t>落实被征地群众安置补偿、维护群众利益的计划措施</w:t>
      </w:r>
    </w:p>
    <w:p w14:paraId="0C7E3F1A">
      <w:pPr>
        <w:pStyle w:val="13"/>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lang w:eastAsia="zh-CN"/>
        </w:rPr>
        <w:t>（</w:t>
      </w:r>
      <w:r>
        <w:rPr>
          <w:rFonts w:hint="eastAsia" w:ascii="楷体_GB2312" w:hAnsi="楷体_GB2312" w:eastAsia="楷体_GB2312" w:cs="楷体_GB2312"/>
          <w:b/>
          <w:bCs/>
          <w:lang w:val="en-US" w:eastAsia="zh-CN"/>
        </w:rPr>
        <w:t>一</w:t>
      </w:r>
      <w:r>
        <w:rPr>
          <w:rFonts w:hint="eastAsia" w:ascii="楷体_GB2312" w:hAnsi="楷体_GB2312" w:eastAsia="楷体_GB2312" w:cs="楷体_GB2312"/>
          <w:b/>
          <w:bCs/>
          <w:lang w:eastAsia="zh-CN"/>
        </w:rPr>
        <w:t>）</w:t>
      </w:r>
      <w:r>
        <w:rPr>
          <w:rFonts w:hint="eastAsia" w:ascii="楷体_GB2312" w:hAnsi="楷体_GB2312" w:eastAsia="楷体_GB2312" w:cs="楷体_GB2312"/>
          <w:b/>
          <w:bCs/>
        </w:rPr>
        <w:t>严格执行征地补偿标准</w:t>
      </w:r>
    </w:p>
    <w:p w14:paraId="1BDF4FEB">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t>按《市政府关于重新公布苏州市市区征地区片综合地价标准的通知》（苏府规字〔2024〕6号）规定的标准执行。</w:t>
      </w:r>
    </w:p>
    <w:p w14:paraId="408D4D7F">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t>土地征收涉及的地上附着物和青苗等补偿标准，按照《市政府办公室关于印发&lt;苏州市市区征地补偿和被征地农民社会保障实施细则&gt;的通知》（苏府办〔2014〕205号）的标准执行。</w:t>
      </w:r>
    </w:p>
    <w:p w14:paraId="195C45FA">
      <w:pPr>
        <w:pStyle w:val="13"/>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lang w:eastAsia="zh-CN"/>
        </w:rPr>
        <w:t>（</w:t>
      </w:r>
      <w:r>
        <w:rPr>
          <w:rFonts w:hint="eastAsia" w:ascii="楷体_GB2312" w:hAnsi="楷体_GB2312" w:eastAsia="楷体_GB2312" w:cs="楷体_GB2312"/>
          <w:b/>
          <w:bCs/>
          <w:lang w:val="en-US" w:eastAsia="zh-CN"/>
        </w:rPr>
        <w:t>二</w:t>
      </w:r>
      <w:r>
        <w:rPr>
          <w:rFonts w:hint="eastAsia" w:ascii="楷体_GB2312" w:hAnsi="楷体_GB2312" w:eastAsia="楷体_GB2312" w:cs="楷体_GB2312"/>
          <w:b/>
          <w:bCs/>
          <w:lang w:eastAsia="zh-CN"/>
        </w:rPr>
        <w:t>）</w:t>
      </w:r>
      <w:r>
        <w:rPr>
          <w:rFonts w:hint="eastAsia" w:ascii="楷体_GB2312" w:hAnsi="楷体_GB2312" w:eastAsia="楷体_GB2312" w:cs="楷体_GB2312"/>
          <w:b/>
          <w:bCs/>
        </w:rPr>
        <w:t>严格履行征前程序</w:t>
      </w:r>
    </w:p>
    <w:p w14:paraId="2EB4D468">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t>成片开发涉及的土地征收工作，苏州市相城区人民政府将严格开展拟征收土地公告、土地现状调查、社会稳定风险评估、拟定征地补偿安置方案、发布征地补偿安置方案公告与听证、征收补偿登记与协议签订等工作。</w:t>
      </w:r>
    </w:p>
    <w:p w14:paraId="424CA8AB">
      <w:pPr>
        <w:pStyle w:val="13"/>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lang w:eastAsia="zh-CN"/>
        </w:rPr>
        <w:t>（</w:t>
      </w:r>
      <w:r>
        <w:rPr>
          <w:rFonts w:hint="eastAsia" w:ascii="楷体_GB2312" w:hAnsi="楷体_GB2312" w:eastAsia="楷体_GB2312" w:cs="楷体_GB2312"/>
          <w:b/>
          <w:bCs/>
          <w:lang w:val="en-US" w:eastAsia="zh-CN"/>
        </w:rPr>
        <w:t>三</w:t>
      </w:r>
      <w:r>
        <w:rPr>
          <w:rFonts w:hint="eastAsia" w:ascii="楷体_GB2312" w:hAnsi="楷体_GB2312" w:eastAsia="楷体_GB2312" w:cs="楷体_GB2312"/>
          <w:b/>
          <w:bCs/>
          <w:lang w:eastAsia="zh-CN"/>
        </w:rPr>
        <w:t>）</w:t>
      </w:r>
      <w:r>
        <w:rPr>
          <w:rFonts w:hint="eastAsia" w:ascii="楷体_GB2312" w:hAnsi="楷体_GB2312" w:eastAsia="楷体_GB2312" w:cs="楷体_GB2312"/>
          <w:b/>
          <w:bCs/>
        </w:rPr>
        <w:t>切实保障被征地农民权益</w:t>
      </w:r>
    </w:p>
    <w:p w14:paraId="67BA4DA3">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t>为保护农民和农村集体经济组织的合法权益，保障农民的基本生活，根据《苏州市市区征地补偿和被征地农民基本生活保障实施细则》的规定，结合自身实际，2007年8月出台了《关于印发&lt;苏州市相城区征地补偿和被征地农民基本生活保障实施细则&gt;的通知》（相政发〔2007〕60号），2008年出台了《关于转发&lt;苏州市相城区劳动适龄被征地农民纳入城镇职工基本养老保险的实施意见（试行）&gt;的通知》（相政办〔2008〕13号），2009年出台了《关于印发苏州市相城区城乡一体化养老保障实施方案的通知》（相政发〔2009〕52号），在全区全面开展落实农民安置保障工作，建立完善农民基本生活保障机制。截至201</w:t>
      </w:r>
      <w:r>
        <w:rPr>
          <w:rFonts w:hint="eastAsia"/>
          <w:lang w:val="en-US" w:eastAsia="zh-CN"/>
        </w:rPr>
        <w:t>1</w:t>
      </w:r>
      <w:r>
        <w:t>年底，相城区人民政府已安排财政资金将全区范围内32</w:t>
      </w:r>
      <w:r>
        <w:rPr>
          <w:rFonts w:hint="eastAsia"/>
          <w:lang w:eastAsia="zh-CN"/>
        </w:rPr>
        <w:t>.</w:t>
      </w:r>
      <w:r>
        <w:t>06万农村集体经济组织全体成员纳入城乡社会保障体系，同时承包经营权全部收回，并收归集体经济组织统一管理。转换身份后的农民已不在原承包经营权范围内从事农业生产，通过培训后进行再就业；将原有集体资产通过股份合作制的方式进行股权固化，除正常工作收入外，还同时享受村集体资产股权固化后所产生的收益分红。转换身份后的农民分享了相城区社会发展成果，无差别享受公共服务和社会保障，从而实现了农民基本生活保障100%覆盖。</w:t>
      </w:r>
    </w:p>
    <w:p w14:paraId="5EAC26DB">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十一、</w:t>
      </w:r>
      <w:r>
        <w:rPr>
          <w:rFonts w:hint="eastAsia" w:ascii="黑体" w:hAnsi="黑体" w:eastAsia="黑体" w:cs="黑体"/>
          <w:b w:val="0"/>
          <w:bCs/>
        </w:rPr>
        <w:t>效益评估</w:t>
      </w:r>
    </w:p>
    <w:p w14:paraId="33C3891B">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lang w:val="en-US" w:eastAsia="zh-CN"/>
        </w:rPr>
        <w:t>1</w:t>
      </w:r>
      <w:r>
        <w:rPr>
          <w:rFonts w:hint="eastAsia" w:ascii="仿宋_GB2312" w:hAnsi="仿宋_GB2312" w:eastAsia="仿宋_GB2312" w:cs="仿宋_GB2312"/>
          <w:lang w:val="en-US" w:eastAsia="zh-CN"/>
        </w:rPr>
        <w:t>.</w:t>
      </w:r>
      <w:r>
        <w:t>经济效益：片区的开发建设，有利于解决区域发展不平衡、不充分等问题。本方案通过土地征用、划拨和市场手段将土地资源配置到各个土地使用者手中，为城市建设储存了后备力量与经济发展保障，为相城区经济的可持续发展、高质量发展与防范金融风险的能力提供坚实的后盾。</w:t>
      </w:r>
    </w:p>
    <w:p w14:paraId="7C89334C">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lang w:val="en-US" w:eastAsia="zh-CN"/>
        </w:rPr>
        <w:t>2</w:t>
      </w:r>
      <w:r>
        <w:rPr>
          <w:rFonts w:hint="eastAsia" w:ascii="仿宋_GB2312" w:hAnsi="仿宋_GB2312" w:eastAsia="仿宋_GB2312" w:cs="仿宋_GB2312"/>
          <w:lang w:val="en-US" w:eastAsia="zh-CN"/>
        </w:rPr>
        <w:t>.</w:t>
      </w:r>
      <w:r>
        <w:t>社会效益：本成片开发方案项目的实施会对土地利用、分配公平、环境改善、增加就业等方面有巨大的促进作用。通过本方案的实施，能够真正实现统一规划、统一配套、统一开发、统一建设、统一管理，有利于完善市政基础设施、提升公共服务水平、打造深层次一体化的</w:t>
      </w:r>
      <w:r>
        <w:rPr>
          <w:rFonts w:hint="eastAsia"/>
        </w:rPr>
        <w:t>“</w:t>
      </w:r>
      <w:r>
        <w:t>高质量发展标杆地区</w:t>
      </w:r>
      <w:r>
        <w:rPr>
          <w:rFonts w:hint="eastAsia"/>
        </w:rPr>
        <w:t>”</w:t>
      </w:r>
      <w:r>
        <w:t>。</w:t>
      </w:r>
    </w:p>
    <w:p w14:paraId="65532209">
      <w:pPr>
        <w:pStyle w:val="13"/>
        <w:keepLines w:val="0"/>
        <w:pageBreakBefore w:val="0"/>
        <w:kinsoku/>
        <w:wordWrap/>
        <w:overflowPunct/>
        <w:topLinePunct w:val="0"/>
        <w:autoSpaceDE/>
        <w:autoSpaceDN/>
        <w:bidi w:val="0"/>
        <w:adjustRightInd/>
        <w:snapToGrid/>
        <w:spacing w:line="560" w:lineRule="exact"/>
        <w:ind w:firstLine="640" w:firstLineChars="200"/>
        <w:textAlignment w:val="auto"/>
      </w:pPr>
      <w:r>
        <w:rPr>
          <w:rFonts w:hint="eastAsia"/>
          <w:lang w:val="en-US" w:eastAsia="zh-CN"/>
        </w:rPr>
        <w:t>3</w:t>
      </w:r>
      <w:r>
        <w:rPr>
          <w:rFonts w:hint="eastAsia" w:ascii="仿宋_GB2312" w:hAnsi="仿宋_GB2312" w:eastAsia="仿宋_GB2312" w:cs="仿宋_GB2312"/>
          <w:lang w:val="en-US" w:eastAsia="zh-CN"/>
        </w:rPr>
        <w:t>.</w:t>
      </w:r>
      <w:r>
        <w:t>生态效益：本成片开发方案将显著提高片区生态环境质量，将有效恢复生态绿化功能，改变城市环境，在减少水域污染、保持水土，涵养水源、降低噪音等诸方面发挥显著作用，使区域生态环境实现良性循环，实现人与自然、经济发展与资源环境协调、可持续发展。</w:t>
      </w:r>
    </w:p>
    <w:p w14:paraId="3B6D8E36">
      <w:pPr>
        <w:pStyle w:val="2"/>
        <w:keepNext/>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十二、</w:t>
      </w:r>
      <w:r>
        <w:rPr>
          <w:rFonts w:hint="eastAsia" w:ascii="黑体" w:hAnsi="黑体" w:eastAsia="黑体" w:cs="黑体"/>
          <w:b w:val="0"/>
          <w:bCs/>
        </w:rPr>
        <w:t>结论</w:t>
      </w:r>
    </w:p>
    <w:p w14:paraId="0A013CC1">
      <w:pPr>
        <w:pStyle w:val="13"/>
        <w:keepLines w:val="0"/>
        <w:pageBreakBefore w:val="0"/>
        <w:kinsoku/>
        <w:wordWrap/>
        <w:overflowPunct/>
        <w:topLinePunct w:val="0"/>
        <w:autoSpaceDE/>
        <w:autoSpaceDN/>
        <w:bidi w:val="0"/>
        <w:adjustRightInd/>
        <w:snapToGrid/>
        <w:spacing w:line="560" w:lineRule="exact"/>
        <w:ind w:firstLine="640" w:firstLineChars="200"/>
        <w:textAlignment w:val="auto"/>
        <w:sectPr>
          <w:footerReference r:id="rId3" w:type="default"/>
          <w:pgSz w:w="11906" w:h="16838"/>
          <w:pgMar w:top="1440" w:right="1803" w:bottom="1440" w:left="1803" w:header="851" w:footer="992" w:gutter="0"/>
          <w:cols w:space="0" w:num="1"/>
          <w:docGrid w:type="lines" w:linePitch="435" w:charSpace="0"/>
        </w:sectPr>
      </w:pPr>
      <w:r>
        <w:rPr>
          <w:rFonts w:hint="eastAsia"/>
          <w:lang w:eastAsia="zh-CN"/>
        </w:rPr>
        <w:t>苏州市相城区林荫路片区（CP320507-2025-06-01）土地征收成片开发方案</w:t>
      </w:r>
      <w:r>
        <w:t>符合自然资源部土地征收成片开发的标准，做到保护耕地、维护农民合法权益、节约集约用地、保护生态环境，能够促进经济社会可持续发展。</w:t>
      </w:r>
      <w:r>
        <w:br w:type="page"/>
      </w:r>
    </w:p>
    <w:p w14:paraId="46C78C79">
      <w:pPr>
        <w:pStyle w:val="2"/>
        <w:keepNext/>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rPr>
      </w:pPr>
      <w:r>
        <w:rPr>
          <w:rFonts w:hint="eastAsia" w:ascii="黑体" w:hAnsi="黑体" w:eastAsia="黑体" w:cs="黑体"/>
          <w:b w:val="0"/>
          <w:bCs/>
          <w:kern w:val="2"/>
          <w:sz w:val="32"/>
          <w:szCs w:val="32"/>
          <w:lang w:val="en-US" w:eastAsia="zh-CN" w:bidi="ar-SA"/>
        </w:rPr>
        <w:t>十三、</w:t>
      </w:r>
      <w:r>
        <w:rPr>
          <w:rFonts w:hint="eastAsia" w:ascii="黑体" w:hAnsi="黑体" w:eastAsia="黑体" w:cs="黑体"/>
          <w:b w:val="0"/>
          <w:bCs/>
        </w:rPr>
        <w:t>附图</w:t>
      </w:r>
    </w:p>
    <w:p w14:paraId="6D07A4CC">
      <w:pPr>
        <w:jc w:val="center"/>
        <w:rPr>
          <w:rFonts w:hint="eastAsia" w:eastAsia="仿宋_GB2312"/>
          <w:lang w:eastAsia="zh-CN"/>
        </w:rPr>
      </w:pPr>
      <w:r>
        <w:rPr>
          <w:rFonts w:hint="eastAsia" w:eastAsia="仿宋_GB2312"/>
          <w:lang w:eastAsia="zh-CN"/>
        </w:rPr>
        <w:drawing>
          <wp:inline distT="0" distB="0" distL="114300" distR="114300">
            <wp:extent cx="6624955" cy="4684395"/>
            <wp:effectExtent l="0" t="0" r="4445" b="1905"/>
            <wp:docPr id="1" name="图片 1" descr="公示出图（适用于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示出图（适用于10"/>
                    <pic:cNvPicPr>
                      <a:picLocks noChangeAspect="1"/>
                    </pic:cNvPicPr>
                  </pic:nvPicPr>
                  <pic:blipFill>
                    <a:blip r:embed="rId5"/>
                    <a:stretch>
                      <a:fillRect/>
                    </a:stretch>
                  </pic:blipFill>
                  <pic:spPr>
                    <a:xfrm>
                      <a:off x="0" y="0"/>
                      <a:ext cx="6624955" cy="4684395"/>
                    </a:xfrm>
                    <a:prstGeom prst="rect">
                      <a:avLst/>
                    </a:prstGeom>
                  </pic:spPr>
                </pic:pic>
              </a:graphicData>
            </a:graphic>
          </wp:inline>
        </w:drawing>
      </w:r>
      <w:bookmarkStart w:id="0" w:name="_GoBack"/>
      <w:bookmarkEnd w:id="0"/>
    </w:p>
    <w:p w14:paraId="72AD2A3D">
      <w:pPr>
        <w:keepNext w:val="0"/>
        <w:keepLines w:val="0"/>
        <w:pageBreakBefore w:val="0"/>
        <w:widowControl w:val="0"/>
        <w:kinsoku/>
        <w:wordWrap/>
        <w:overflowPunct/>
        <w:topLinePunct w:val="0"/>
        <w:autoSpaceDE/>
        <w:autoSpaceDN/>
        <w:bidi w:val="0"/>
        <w:adjustRightInd/>
        <w:snapToGrid/>
        <w:ind w:firstLine="640" w:firstLineChars="200"/>
        <w:textAlignment w:val="auto"/>
      </w:pPr>
      <w:r>
        <w:t>（成片开发范围以最终批复为准）</w:t>
      </w:r>
    </w:p>
    <w:sectPr>
      <w:pgSz w:w="16838" w:h="11906" w:orient="landscape"/>
      <w:pgMar w:top="1803" w:right="1440" w:bottom="1803" w:left="1440" w:header="851" w:footer="992" w:gutter="0"/>
      <w:cols w:space="0" w:num="1"/>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EDE42">
    <w:pPr>
      <w:pStyle w:val="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F43FD6">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2FF43FD6">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60"/>
  <w:drawingGridVerticalSpacing w:val="21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IxYjc0ZWQ2YmY4NjY2ZjAyNmE0OTExZjI3NDY2OWIifQ=="/>
  </w:docVars>
  <w:rsids>
    <w:rsidRoot w:val="003555C3"/>
    <w:rsid w:val="00000A63"/>
    <w:rsid w:val="00002C8A"/>
    <w:rsid w:val="00005AA1"/>
    <w:rsid w:val="000063F3"/>
    <w:rsid w:val="0001047E"/>
    <w:rsid w:val="00016CED"/>
    <w:rsid w:val="00020140"/>
    <w:rsid w:val="00022BFA"/>
    <w:rsid w:val="00030BFC"/>
    <w:rsid w:val="00042F97"/>
    <w:rsid w:val="000444ED"/>
    <w:rsid w:val="00051BCC"/>
    <w:rsid w:val="00055A5C"/>
    <w:rsid w:val="00063974"/>
    <w:rsid w:val="00065CDF"/>
    <w:rsid w:val="00066D88"/>
    <w:rsid w:val="00072AB2"/>
    <w:rsid w:val="000730E6"/>
    <w:rsid w:val="00074FB8"/>
    <w:rsid w:val="00082321"/>
    <w:rsid w:val="00085809"/>
    <w:rsid w:val="00085F3C"/>
    <w:rsid w:val="000877E1"/>
    <w:rsid w:val="00094619"/>
    <w:rsid w:val="00095A95"/>
    <w:rsid w:val="000A6BB1"/>
    <w:rsid w:val="000B1CDC"/>
    <w:rsid w:val="000B7A90"/>
    <w:rsid w:val="000C0B25"/>
    <w:rsid w:val="000C1759"/>
    <w:rsid w:val="000C1B5C"/>
    <w:rsid w:val="000C6B6C"/>
    <w:rsid w:val="000D2960"/>
    <w:rsid w:val="000E62A7"/>
    <w:rsid w:val="000E66FD"/>
    <w:rsid w:val="000F380B"/>
    <w:rsid w:val="001009FF"/>
    <w:rsid w:val="00103909"/>
    <w:rsid w:val="00106788"/>
    <w:rsid w:val="00127F74"/>
    <w:rsid w:val="001316B9"/>
    <w:rsid w:val="001352F9"/>
    <w:rsid w:val="00135834"/>
    <w:rsid w:val="00135D98"/>
    <w:rsid w:val="00136BB8"/>
    <w:rsid w:val="001373AF"/>
    <w:rsid w:val="001441C4"/>
    <w:rsid w:val="00144458"/>
    <w:rsid w:val="00146EC1"/>
    <w:rsid w:val="001473F5"/>
    <w:rsid w:val="00147891"/>
    <w:rsid w:val="00152C7C"/>
    <w:rsid w:val="00164A12"/>
    <w:rsid w:val="001775B0"/>
    <w:rsid w:val="00183807"/>
    <w:rsid w:val="001843E0"/>
    <w:rsid w:val="00195C6A"/>
    <w:rsid w:val="001A0B90"/>
    <w:rsid w:val="001A4A0D"/>
    <w:rsid w:val="001A6B07"/>
    <w:rsid w:val="001B3161"/>
    <w:rsid w:val="001C3302"/>
    <w:rsid w:val="001D1DEE"/>
    <w:rsid w:val="001E0FC2"/>
    <w:rsid w:val="001E4C21"/>
    <w:rsid w:val="001F0AA6"/>
    <w:rsid w:val="001F31DA"/>
    <w:rsid w:val="001F567B"/>
    <w:rsid w:val="002011CF"/>
    <w:rsid w:val="0020212F"/>
    <w:rsid w:val="00202378"/>
    <w:rsid w:val="00203B36"/>
    <w:rsid w:val="002044AF"/>
    <w:rsid w:val="0021500B"/>
    <w:rsid w:val="0022304D"/>
    <w:rsid w:val="0023604E"/>
    <w:rsid w:val="00241544"/>
    <w:rsid w:val="00242E47"/>
    <w:rsid w:val="002439A2"/>
    <w:rsid w:val="00251215"/>
    <w:rsid w:val="002514C1"/>
    <w:rsid w:val="00253DFB"/>
    <w:rsid w:val="0025648F"/>
    <w:rsid w:val="00270B7D"/>
    <w:rsid w:val="00271D3E"/>
    <w:rsid w:val="00272833"/>
    <w:rsid w:val="002817EA"/>
    <w:rsid w:val="0028661B"/>
    <w:rsid w:val="002930AF"/>
    <w:rsid w:val="002978BB"/>
    <w:rsid w:val="002A077B"/>
    <w:rsid w:val="002A0800"/>
    <w:rsid w:val="002B0C10"/>
    <w:rsid w:val="002B1147"/>
    <w:rsid w:val="002B23A1"/>
    <w:rsid w:val="002B4B4C"/>
    <w:rsid w:val="002B6367"/>
    <w:rsid w:val="002C5476"/>
    <w:rsid w:val="002D251F"/>
    <w:rsid w:val="002D31C6"/>
    <w:rsid w:val="002D7B86"/>
    <w:rsid w:val="002E00AB"/>
    <w:rsid w:val="002E0A49"/>
    <w:rsid w:val="002E1998"/>
    <w:rsid w:val="002E72E0"/>
    <w:rsid w:val="002E7866"/>
    <w:rsid w:val="002F4141"/>
    <w:rsid w:val="0030210D"/>
    <w:rsid w:val="00303636"/>
    <w:rsid w:val="00306136"/>
    <w:rsid w:val="00307CE8"/>
    <w:rsid w:val="00310024"/>
    <w:rsid w:val="00313E55"/>
    <w:rsid w:val="00314BBE"/>
    <w:rsid w:val="00316A35"/>
    <w:rsid w:val="00317463"/>
    <w:rsid w:val="003271B0"/>
    <w:rsid w:val="00333147"/>
    <w:rsid w:val="003349CD"/>
    <w:rsid w:val="0033627D"/>
    <w:rsid w:val="00340633"/>
    <w:rsid w:val="00340A3B"/>
    <w:rsid w:val="00345971"/>
    <w:rsid w:val="00347963"/>
    <w:rsid w:val="00350AB8"/>
    <w:rsid w:val="003555C3"/>
    <w:rsid w:val="00356C53"/>
    <w:rsid w:val="00364ABC"/>
    <w:rsid w:val="0037140C"/>
    <w:rsid w:val="00372C4B"/>
    <w:rsid w:val="00373375"/>
    <w:rsid w:val="00382619"/>
    <w:rsid w:val="0038275C"/>
    <w:rsid w:val="00382E70"/>
    <w:rsid w:val="00384A87"/>
    <w:rsid w:val="003865C8"/>
    <w:rsid w:val="0039224F"/>
    <w:rsid w:val="00394A17"/>
    <w:rsid w:val="003A4D7D"/>
    <w:rsid w:val="003B029F"/>
    <w:rsid w:val="003B30EF"/>
    <w:rsid w:val="003B5354"/>
    <w:rsid w:val="003B5CB1"/>
    <w:rsid w:val="003C08F5"/>
    <w:rsid w:val="003C0E3E"/>
    <w:rsid w:val="003C63BA"/>
    <w:rsid w:val="003D3275"/>
    <w:rsid w:val="003D7206"/>
    <w:rsid w:val="003E5064"/>
    <w:rsid w:val="003E5BE6"/>
    <w:rsid w:val="003F23E3"/>
    <w:rsid w:val="003F34B9"/>
    <w:rsid w:val="003F71A2"/>
    <w:rsid w:val="00403922"/>
    <w:rsid w:val="0040487C"/>
    <w:rsid w:val="004051DE"/>
    <w:rsid w:val="00405B14"/>
    <w:rsid w:val="00406322"/>
    <w:rsid w:val="00411AF5"/>
    <w:rsid w:val="004152EE"/>
    <w:rsid w:val="00415E75"/>
    <w:rsid w:val="004160B5"/>
    <w:rsid w:val="0041703D"/>
    <w:rsid w:val="004278C8"/>
    <w:rsid w:val="00431038"/>
    <w:rsid w:val="00431B46"/>
    <w:rsid w:val="004325BB"/>
    <w:rsid w:val="00432923"/>
    <w:rsid w:val="004360F9"/>
    <w:rsid w:val="00453142"/>
    <w:rsid w:val="00456768"/>
    <w:rsid w:val="00457C2D"/>
    <w:rsid w:val="004638C7"/>
    <w:rsid w:val="00477C54"/>
    <w:rsid w:val="0048132A"/>
    <w:rsid w:val="004814C3"/>
    <w:rsid w:val="00495A56"/>
    <w:rsid w:val="00496F2F"/>
    <w:rsid w:val="004A00CB"/>
    <w:rsid w:val="004A29BE"/>
    <w:rsid w:val="004A4BEE"/>
    <w:rsid w:val="004B1FDD"/>
    <w:rsid w:val="004B2A2B"/>
    <w:rsid w:val="004B6724"/>
    <w:rsid w:val="004C13B3"/>
    <w:rsid w:val="004C1689"/>
    <w:rsid w:val="004C358A"/>
    <w:rsid w:val="004C4362"/>
    <w:rsid w:val="004C660A"/>
    <w:rsid w:val="004D1819"/>
    <w:rsid w:val="004D19F2"/>
    <w:rsid w:val="004D64CB"/>
    <w:rsid w:val="004E6072"/>
    <w:rsid w:val="005119AC"/>
    <w:rsid w:val="005153B1"/>
    <w:rsid w:val="00523912"/>
    <w:rsid w:val="00550C41"/>
    <w:rsid w:val="0055230A"/>
    <w:rsid w:val="0055516D"/>
    <w:rsid w:val="00557373"/>
    <w:rsid w:val="005608C0"/>
    <w:rsid w:val="00562693"/>
    <w:rsid w:val="00570E08"/>
    <w:rsid w:val="00572066"/>
    <w:rsid w:val="005807D1"/>
    <w:rsid w:val="005821EF"/>
    <w:rsid w:val="005928A1"/>
    <w:rsid w:val="00592F1E"/>
    <w:rsid w:val="00596E1F"/>
    <w:rsid w:val="005A1B42"/>
    <w:rsid w:val="005B3B82"/>
    <w:rsid w:val="005B62C4"/>
    <w:rsid w:val="005C1E91"/>
    <w:rsid w:val="005D55E5"/>
    <w:rsid w:val="005E20EB"/>
    <w:rsid w:val="005F13A6"/>
    <w:rsid w:val="005F1DFE"/>
    <w:rsid w:val="005F4299"/>
    <w:rsid w:val="005F7C21"/>
    <w:rsid w:val="00600A6D"/>
    <w:rsid w:val="00601A86"/>
    <w:rsid w:val="00606E37"/>
    <w:rsid w:val="0061063E"/>
    <w:rsid w:val="00615460"/>
    <w:rsid w:val="006161F5"/>
    <w:rsid w:val="00622D26"/>
    <w:rsid w:val="0063258F"/>
    <w:rsid w:val="00633442"/>
    <w:rsid w:val="00644240"/>
    <w:rsid w:val="00645DEC"/>
    <w:rsid w:val="00647424"/>
    <w:rsid w:val="00647A21"/>
    <w:rsid w:val="00662440"/>
    <w:rsid w:val="006639C5"/>
    <w:rsid w:val="006666A8"/>
    <w:rsid w:val="00674B0D"/>
    <w:rsid w:val="006925D6"/>
    <w:rsid w:val="006944A6"/>
    <w:rsid w:val="00696664"/>
    <w:rsid w:val="006A3568"/>
    <w:rsid w:val="006A6A93"/>
    <w:rsid w:val="006B18A3"/>
    <w:rsid w:val="006B27DB"/>
    <w:rsid w:val="006B3293"/>
    <w:rsid w:val="006B6F2B"/>
    <w:rsid w:val="006B6FBB"/>
    <w:rsid w:val="006B7850"/>
    <w:rsid w:val="006C15C6"/>
    <w:rsid w:val="006C16B5"/>
    <w:rsid w:val="006C3BE3"/>
    <w:rsid w:val="006D00C9"/>
    <w:rsid w:val="006D31BD"/>
    <w:rsid w:val="006F68C4"/>
    <w:rsid w:val="006F7ECF"/>
    <w:rsid w:val="00703179"/>
    <w:rsid w:val="007033FC"/>
    <w:rsid w:val="0071002A"/>
    <w:rsid w:val="00714704"/>
    <w:rsid w:val="00721EC5"/>
    <w:rsid w:val="00723F34"/>
    <w:rsid w:val="00724D99"/>
    <w:rsid w:val="00727059"/>
    <w:rsid w:val="007434EF"/>
    <w:rsid w:val="007500F6"/>
    <w:rsid w:val="00750F05"/>
    <w:rsid w:val="00757052"/>
    <w:rsid w:val="007622C0"/>
    <w:rsid w:val="00762979"/>
    <w:rsid w:val="00775C6B"/>
    <w:rsid w:val="00776F3D"/>
    <w:rsid w:val="00781020"/>
    <w:rsid w:val="0078148A"/>
    <w:rsid w:val="007839E0"/>
    <w:rsid w:val="007877E3"/>
    <w:rsid w:val="00787C82"/>
    <w:rsid w:val="00793C3F"/>
    <w:rsid w:val="00796646"/>
    <w:rsid w:val="007A06AC"/>
    <w:rsid w:val="007A45BA"/>
    <w:rsid w:val="007A56FF"/>
    <w:rsid w:val="007B0D5D"/>
    <w:rsid w:val="007B4E2D"/>
    <w:rsid w:val="007B7448"/>
    <w:rsid w:val="007C6140"/>
    <w:rsid w:val="007D6E05"/>
    <w:rsid w:val="007E225B"/>
    <w:rsid w:val="007F256F"/>
    <w:rsid w:val="007F4C3A"/>
    <w:rsid w:val="008019D3"/>
    <w:rsid w:val="008051C2"/>
    <w:rsid w:val="00806B83"/>
    <w:rsid w:val="00816D5A"/>
    <w:rsid w:val="00820EDA"/>
    <w:rsid w:val="00821A8A"/>
    <w:rsid w:val="00823F2C"/>
    <w:rsid w:val="00826154"/>
    <w:rsid w:val="0082786A"/>
    <w:rsid w:val="00841FB6"/>
    <w:rsid w:val="0084677B"/>
    <w:rsid w:val="00847162"/>
    <w:rsid w:val="0085062C"/>
    <w:rsid w:val="00850BF2"/>
    <w:rsid w:val="00852303"/>
    <w:rsid w:val="00854E21"/>
    <w:rsid w:val="00875062"/>
    <w:rsid w:val="00881F93"/>
    <w:rsid w:val="008853F0"/>
    <w:rsid w:val="0088544D"/>
    <w:rsid w:val="00885AFC"/>
    <w:rsid w:val="008906F6"/>
    <w:rsid w:val="0089151B"/>
    <w:rsid w:val="008957CB"/>
    <w:rsid w:val="008A1E27"/>
    <w:rsid w:val="008A39AD"/>
    <w:rsid w:val="008B3E99"/>
    <w:rsid w:val="008B7098"/>
    <w:rsid w:val="008C0C01"/>
    <w:rsid w:val="008C0EFB"/>
    <w:rsid w:val="008C5920"/>
    <w:rsid w:val="008C6042"/>
    <w:rsid w:val="008D0F13"/>
    <w:rsid w:val="008D331D"/>
    <w:rsid w:val="008D461B"/>
    <w:rsid w:val="008E131B"/>
    <w:rsid w:val="008E15EE"/>
    <w:rsid w:val="008E513F"/>
    <w:rsid w:val="008E58BC"/>
    <w:rsid w:val="008E75A0"/>
    <w:rsid w:val="008F15EA"/>
    <w:rsid w:val="008F74B4"/>
    <w:rsid w:val="00901BB6"/>
    <w:rsid w:val="00903318"/>
    <w:rsid w:val="00905A80"/>
    <w:rsid w:val="00907E2A"/>
    <w:rsid w:val="00910334"/>
    <w:rsid w:val="00911FBA"/>
    <w:rsid w:val="0091201D"/>
    <w:rsid w:val="009146B5"/>
    <w:rsid w:val="00920156"/>
    <w:rsid w:val="00921862"/>
    <w:rsid w:val="00927364"/>
    <w:rsid w:val="00950469"/>
    <w:rsid w:val="00952D74"/>
    <w:rsid w:val="00956966"/>
    <w:rsid w:val="00965503"/>
    <w:rsid w:val="00966C30"/>
    <w:rsid w:val="0097680C"/>
    <w:rsid w:val="00977DA9"/>
    <w:rsid w:val="009843D9"/>
    <w:rsid w:val="0098457D"/>
    <w:rsid w:val="00987C35"/>
    <w:rsid w:val="00992415"/>
    <w:rsid w:val="00992918"/>
    <w:rsid w:val="009A06C0"/>
    <w:rsid w:val="009A0AAE"/>
    <w:rsid w:val="009A27B1"/>
    <w:rsid w:val="009A6645"/>
    <w:rsid w:val="009A7E69"/>
    <w:rsid w:val="009A7F32"/>
    <w:rsid w:val="009B1483"/>
    <w:rsid w:val="009B6591"/>
    <w:rsid w:val="009C26E4"/>
    <w:rsid w:val="009C2C0B"/>
    <w:rsid w:val="009C5BAD"/>
    <w:rsid w:val="009D1F9A"/>
    <w:rsid w:val="009D4296"/>
    <w:rsid w:val="009E1219"/>
    <w:rsid w:val="009E66C4"/>
    <w:rsid w:val="009F6091"/>
    <w:rsid w:val="00A03BEA"/>
    <w:rsid w:val="00A07D18"/>
    <w:rsid w:val="00A1660D"/>
    <w:rsid w:val="00A16B40"/>
    <w:rsid w:val="00A17954"/>
    <w:rsid w:val="00A243C4"/>
    <w:rsid w:val="00A30953"/>
    <w:rsid w:val="00A32910"/>
    <w:rsid w:val="00A3413D"/>
    <w:rsid w:val="00A40286"/>
    <w:rsid w:val="00A42AFB"/>
    <w:rsid w:val="00A476BA"/>
    <w:rsid w:val="00A60241"/>
    <w:rsid w:val="00A6757C"/>
    <w:rsid w:val="00A67E8E"/>
    <w:rsid w:val="00A73802"/>
    <w:rsid w:val="00A7456C"/>
    <w:rsid w:val="00A8001E"/>
    <w:rsid w:val="00A952AB"/>
    <w:rsid w:val="00AA5C0F"/>
    <w:rsid w:val="00AB256C"/>
    <w:rsid w:val="00AB41BA"/>
    <w:rsid w:val="00AB4BBD"/>
    <w:rsid w:val="00AB64E9"/>
    <w:rsid w:val="00AB7B51"/>
    <w:rsid w:val="00AC02E1"/>
    <w:rsid w:val="00AC3E32"/>
    <w:rsid w:val="00AD2039"/>
    <w:rsid w:val="00AF1286"/>
    <w:rsid w:val="00AF2BA8"/>
    <w:rsid w:val="00AF761F"/>
    <w:rsid w:val="00B00C0D"/>
    <w:rsid w:val="00B03449"/>
    <w:rsid w:val="00B07207"/>
    <w:rsid w:val="00B138A1"/>
    <w:rsid w:val="00B22CEB"/>
    <w:rsid w:val="00B2574B"/>
    <w:rsid w:val="00B3205E"/>
    <w:rsid w:val="00B339FD"/>
    <w:rsid w:val="00B35137"/>
    <w:rsid w:val="00B4544B"/>
    <w:rsid w:val="00B461CF"/>
    <w:rsid w:val="00B471FB"/>
    <w:rsid w:val="00B478DE"/>
    <w:rsid w:val="00B57649"/>
    <w:rsid w:val="00B603FB"/>
    <w:rsid w:val="00B625E4"/>
    <w:rsid w:val="00B634E2"/>
    <w:rsid w:val="00B646DC"/>
    <w:rsid w:val="00B66476"/>
    <w:rsid w:val="00B713F2"/>
    <w:rsid w:val="00B81417"/>
    <w:rsid w:val="00B93042"/>
    <w:rsid w:val="00B93DA9"/>
    <w:rsid w:val="00B948D2"/>
    <w:rsid w:val="00BA5EC4"/>
    <w:rsid w:val="00BA7E85"/>
    <w:rsid w:val="00BB1BF6"/>
    <w:rsid w:val="00BB2D4C"/>
    <w:rsid w:val="00BB6E42"/>
    <w:rsid w:val="00BC08DC"/>
    <w:rsid w:val="00BC5766"/>
    <w:rsid w:val="00BC6A64"/>
    <w:rsid w:val="00BC7301"/>
    <w:rsid w:val="00BD1B96"/>
    <w:rsid w:val="00BD3A33"/>
    <w:rsid w:val="00BD6F09"/>
    <w:rsid w:val="00BE5A8A"/>
    <w:rsid w:val="00BF0B90"/>
    <w:rsid w:val="00BF491C"/>
    <w:rsid w:val="00BF495B"/>
    <w:rsid w:val="00BF706B"/>
    <w:rsid w:val="00C03B7C"/>
    <w:rsid w:val="00C03F1B"/>
    <w:rsid w:val="00C04A49"/>
    <w:rsid w:val="00C11A3F"/>
    <w:rsid w:val="00C129E1"/>
    <w:rsid w:val="00C14231"/>
    <w:rsid w:val="00C178A4"/>
    <w:rsid w:val="00C20E61"/>
    <w:rsid w:val="00C26306"/>
    <w:rsid w:val="00C275D0"/>
    <w:rsid w:val="00C31205"/>
    <w:rsid w:val="00C32AD1"/>
    <w:rsid w:val="00C33C0A"/>
    <w:rsid w:val="00C41F03"/>
    <w:rsid w:val="00C42959"/>
    <w:rsid w:val="00C514A0"/>
    <w:rsid w:val="00C51B17"/>
    <w:rsid w:val="00C51FF6"/>
    <w:rsid w:val="00C53E9E"/>
    <w:rsid w:val="00C56052"/>
    <w:rsid w:val="00C57B17"/>
    <w:rsid w:val="00C61622"/>
    <w:rsid w:val="00C62166"/>
    <w:rsid w:val="00C6416E"/>
    <w:rsid w:val="00C753F9"/>
    <w:rsid w:val="00C865DA"/>
    <w:rsid w:val="00C93477"/>
    <w:rsid w:val="00C9783C"/>
    <w:rsid w:val="00CA2206"/>
    <w:rsid w:val="00CA7C9F"/>
    <w:rsid w:val="00CB20C4"/>
    <w:rsid w:val="00CB28F3"/>
    <w:rsid w:val="00CC1656"/>
    <w:rsid w:val="00CD6C87"/>
    <w:rsid w:val="00CE37FB"/>
    <w:rsid w:val="00CE474E"/>
    <w:rsid w:val="00CE6A98"/>
    <w:rsid w:val="00CF26C1"/>
    <w:rsid w:val="00CF7467"/>
    <w:rsid w:val="00D10A0A"/>
    <w:rsid w:val="00D2121C"/>
    <w:rsid w:val="00D2283C"/>
    <w:rsid w:val="00D2314B"/>
    <w:rsid w:val="00D26A15"/>
    <w:rsid w:val="00D30661"/>
    <w:rsid w:val="00D35662"/>
    <w:rsid w:val="00D36377"/>
    <w:rsid w:val="00D4066E"/>
    <w:rsid w:val="00D45A0F"/>
    <w:rsid w:val="00D50A86"/>
    <w:rsid w:val="00D50AE1"/>
    <w:rsid w:val="00D538A4"/>
    <w:rsid w:val="00D5426A"/>
    <w:rsid w:val="00D651D5"/>
    <w:rsid w:val="00D81CEE"/>
    <w:rsid w:val="00D83EAF"/>
    <w:rsid w:val="00D840F4"/>
    <w:rsid w:val="00D84A22"/>
    <w:rsid w:val="00D929E8"/>
    <w:rsid w:val="00D92B4F"/>
    <w:rsid w:val="00D93C51"/>
    <w:rsid w:val="00D95075"/>
    <w:rsid w:val="00DA7014"/>
    <w:rsid w:val="00DB31F1"/>
    <w:rsid w:val="00DC1D93"/>
    <w:rsid w:val="00DC3EE7"/>
    <w:rsid w:val="00DC4D61"/>
    <w:rsid w:val="00DD00A2"/>
    <w:rsid w:val="00DD281B"/>
    <w:rsid w:val="00DE1058"/>
    <w:rsid w:val="00DE1F70"/>
    <w:rsid w:val="00DE75B8"/>
    <w:rsid w:val="00DF0176"/>
    <w:rsid w:val="00DF36FB"/>
    <w:rsid w:val="00E05E22"/>
    <w:rsid w:val="00E10A19"/>
    <w:rsid w:val="00E14F76"/>
    <w:rsid w:val="00E16DC6"/>
    <w:rsid w:val="00E17118"/>
    <w:rsid w:val="00E33463"/>
    <w:rsid w:val="00E346BD"/>
    <w:rsid w:val="00E3542F"/>
    <w:rsid w:val="00E35438"/>
    <w:rsid w:val="00E4170E"/>
    <w:rsid w:val="00E46B89"/>
    <w:rsid w:val="00E524D9"/>
    <w:rsid w:val="00E757B7"/>
    <w:rsid w:val="00E75E69"/>
    <w:rsid w:val="00E816EA"/>
    <w:rsid w:val="00E82A0F"/>
    <w:rsid w:val="00E87A5A"/>
    <w:rsid w:val="00E97EFC"/>
    <w:rsid w:val="00EA2319"/>
    <w:rsid w:val="00EA28E4"/>
    <w:rsid w:val="00EB2F86"/>
    <w:rsid w:val="00EB323D"/>
    <w:rsid w:val="00EB54B9"/>
    <w:rsid w:val="00EC244C"/>
    <w:rsid w:val="00EC2BBF"/>
    <w:rsid w:val="00ED4BB5"/>
    <w:rsid w:val="00ED74DB"/>
    <w:rsid w:val="00EE4CDD"/>
    <w:rsid w:val="00EF1392"/>
    <w:rsid w:val="00EF1771"/>
    <w:rsid w:val="00EF2F50"/>
    <w:rsid w:val="00EF503F"/>
    <w:rsid w:val="00F0092F"/>
    <w:rsid w:val="00F011C5"/>
    <w:rsid w:val="00F02CBC"/>
    <w:rsid w:val="00F13005"/>
    <w:rsid w:val="00F13221"/>
    <w:rsid w:val="00F15490"/>
    <w:rsid w:val="00F24644"/>
    <w:rsid w:val="00F33C64"/>
    <w:rsid w:val="00F33CFC"/>
    <w:rsid w:val="00F42420"/>
    <w:rsid w:val="00F524A5"/>
    <w:rsid w:val="00F5294D"/>
    <w:rsid w:val="00F56317"/>
    <w:rsid w:val="00F57E67"/>
    <w:rsid w:val="00F61B47"/>
    <w:rsid w:val="00F642E4"/>
    <w:rsid w:val="00F647C7"/>
    <w:rsid w:val="00F675D4"/>
    <w:rsid w:val="00F77CE8"/>
    <w:rsid w:val="00F77ED3"/>
    <w:rsid w:val="00F81EA7"/>
    <w:rsid w:val="00F90569"/>
    <w:rsid w:val="00F90B54"/>
    <w:rsid w:val="00F90D1C"/>
    <w:rsid w:val="00F96C3A"/>
    <w:rsid w:val="00FB44DD"/>
    <w:rsid w:val="00FB4762"/>
    <w:rsid w:val="00FB6300"/>
    <w:rsid w:val="00FC23D7"/>
    <w:rsid w:val="00FC2A2D"/>
    <w:rsid w:val="00FC462A"/>
    <w:rsid w:val="00FC5AF0"/>
    <w:rsid w:val="00FD008E"/>
    <w:rsid w:val="00FD30B0"/>
    <w:rsid w:val="00FD34A1"/>
    <w:rsid w:val="00FD7A65"/>
    <w:rsid w:val="00FD7A7B"/>
    <w:rsid w:val="00FE2ECD"/>
    <w:rsid w:val="00FE4F4B"/>
    <w:rsid w:val="00FE624C"/>
    <w:rsid w:val="00FE7A10"/>
    <w:rsid w:val="00FF02CB"/>
    <w:rsid w:val="00FF4141"/>
    <w:rsid w:val="022D3305"/>
    <w:rsid w:val="03D02715"/>
    <w:rsid w:val="0C96116A"/>
    <w:rsid w:val="0CBD6B42"/>
    <w:rsid w:val="0F704564"/>
    <w:rsid w:val="10EE775A"/>
    <w:rsid w:val="161E3A92"/>
    <w:rsid w:val="1D0002DD"/>
    <w:rsid w:val="1DC436C7"/>
    <w:rsid w:val="1F10520A"/>
    <w:rsid w:val="23775858"/>
    <w:rsid w:val="240115C5"/>
    <w:rsid w:val="24B912EC"/>
    <w:rsid w:val="26912FDA"/>
    <w:rsid w:val="278A0F7F"/>
    <w:rsid w:val="28C74702"/>
    <w:rsid w:val="297222DF"/>
    <w:rsid w:val="2A3600D9"/>
    <w:rsid w:val="2A4B0CDB"/>
    <w:rsid w:val="2B5027DF"/>
    <w:rsid w:val="2C207696"/>
    <w:rsid w:val="32193358"/>
    <w:rsid w:val="332D7314"/>
    <w:rsid w:val="352A13E1"/>
    <w:rsid w:val="37C0533C"/>
    <w:rsid w:val="3B4958D4"/>
    <w:rsid w:val="4B0F504B"/>
    <w:rsid w:val="4B7E2D38"/>
    <w:rsid w:val="4BDD20B3"/>
    <w:rsid w:val="4E092CA1"/>
    <w:rsid w:val="50A867A1"/>
    <w:rsid w:val="51EA6909"/>
    <w:rsid w:val="525D5DD6"/>
    <w:rsid w:val="52AA6800"/>
    <w:rsid w:val="553118BA"/>
    <w:rsid w:val="55EB37D2"/>
    <w:rsid w:val="56803E4F"/>
    <w:rsid w:val="575402AF"/>
    <w:rsid w:val="59CD7278"/>
    <w:rsid w:val="5B0C66FF"/>
    <w:rsid w:val="5D535815"/>
    <w:rsid w:val="5D7D3015"/>
    <w:rsid w:val="5DAB25E8"/>
    <w:rsid w:val="60B57A49"/>
    <w:rsid w:val="625D30EE"/>
    <w:rsid w:val="626C56E8"/>
    <w:rsid w:val="630E6709"/>
    <w:rsid w:val="631C0CD5"/>
    <w:rsid w:val="6465056C"/>
    <w:rsid w:val="652B54A5"/>
    <w:rsid w:val="69822818"/>
    <w:rsid w:val="6A786D15"/>
    <w:rsid w:val="6B160431"/>
    <w:rsid w:val="6C5E3742"/>
    <w:rsid w:val="708049E1"/>
    <w:rsid w:val="779F356A"/>
    <w:rsid w:val="77A47A25"/>
    <w:rsid w:val="781D314A"/>
    <w:rsid w:val="78746DE5"/>
    <w:rsid w:val="7AE758B9"/>
    <w:rsid w:val="7C482A62"/>
    <w:rsid w:val="7C4C0C20"/>
    <w:rsid w:val="7DAE3A5D"/>
    <w:rsid w:val="7DD81465"/>
    <w:rsid w:val="7E5203E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3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2"/>
    <w:basedOn w:val="1"/>
    <w:next w:val="1"/>
    <w:link w:val="18"/>
    <w:unhideWhenUsed/>
    <w:qFormat/>
    <w:uiPriority w:val="0"/>
    <w:pPr>
      <w:keepNext/>
      <w:outlineLvl w:val="1"/>
    </w:pPr>
    <w:rPr>
      <w:rFonts w:ascii="Calibri Light" w:hAnsi="Calibri Light"/>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autoRedefine/>
    <w:semiHidden/>
    <w:unhideWhenUsed/>
    <w:qFormat/>
    <w:uiPriority w:val="99"/>
    <w:rPr>
      <w:sz w:val="18"/>
      <w:szCs w:val="18"/>
    </w:rPr>
  </w:style>
  <w:style w:type="paragraph" w:styleId="4">
    <w:name w:val="footer"/>
    <w:basedOn w:val="1"/>
    <w:link w:val="10"/>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autoRedefine/>
    <w:qFormat/>
    <w:uiPriority w:val="22"/>
    <w:rPr>
      <w:b/>
      <w:bCs/>
    </w:rPr>
  </w:style>
  <w:style w:type="character" w:customStyle="1" w:styleId="10">
    <w:name w:val="页脚 字符"/>
    <w:link w:val="4"/>
    <w:autoRedefine/>
    <w:qFormat/>
    <w:uiPriority w:val="99"/>
    <w:rPr>
      <w:sz w:val="18"/>
      <w:szCs w:val="18"/>
    </w:rPr>
  </w:style>
  <w:style w:type="character" w:customStyle="1" w:styleId="11">
    <w:name w:val="页眉 字符"/>
    <w:link w:val="5"/>
    <w:autoRedefine/>
    <w:qFormat/>
    <w:uiPriority w:val="99"/>
    <w:rPr>
      <w:sz w:val="18"/>
      <w:szCs w:val="18"/>
    </w:rPr>
  </w:style>
  <w:style w:type="character" w:customStyle="1" w:styleId="12">
    <w:name w:val="批注框文本 字符"/>
    <w:link w:val="3"/>
    <w:autoRedefine/>
    <w:semiHidden/>
    <w:qFormat/>
    <w:uiPriority w:val="99"/>
    <w:rPr>
      <w:kern w:val="2"/>
      <w:sz w:val="18"/>
      <w:szCs w:val="18"/>
    </w:rPr>
  </w:style>
  <w:style w:type="paragraph" w:styleId="13">
    <w:name w:val="List Paragraph"/>
    <w:basedOn w:val="1"/>
    <w:link w:val="14"/>
    <w:autoRedefine/>
    <w:qFormat/>
    <w:uiPriority w:val="34"/>
    <w:pPr>
      <w:spacing w:line="560" w:lineRule="exact"/>
    </w:pPr>
  </w:style>
  <w:style w:type="character" w:customStyle="1" w:styleId="14">
    <w:name w:val="列出段落 字符1"/>
    <w:link w:val="13"/>
    <w:autoRedefine/>
    <w:qFormat/>
    <w:uiPriority w:val="34"/>
    <w:rPr>
      <w:rFonts w:eastAsia="仿宋_GB2312"/>
      <w:kern w:val="2"/>
      <w:sz w:val="32"/>
      <w:szCs w:val="32"/>
    </w:rPr>
  </w:style>
  <w:style w:type="character" w:customStyle="1" w:styleId="15">
    <w:name w:val="列出段落 字符"/>
    <w:autoRedefine/>
    <w:qFormat/>
    <w:uiPriority w:val="34"/>
    <w:rPr>
      <w:rFonts w:ascii="Calibri" w:hAnsi="Calibri" w:eastAsia="宋体" w:cs="Times New Roman"/>
      <w:kern w:val="2"/>
      <w:sz w:val="28"/>
      <w:szCs w:val="22"/>
    </w:rPr>
  </w:style>
  <w:style w:type="paragraph" w:customStyle="1" w:styleId="16">
    <w:name w:val="正文1"/>
    <w:basedOn w:val="1"/>
    <w:link w:val="17"/>
    <w:autoRedefine/>
    <w:qFormat/>
    <w:uiPriority w:val="0"/>
    <w:pPr>
      <w:autoSpaceDE w:val="0"/>
      <w:autoSpaceDN w:val="0"/>
      <w:adjustRightInd w:val="0"/>
      <w:spacing w:line="360" w:lineRule="auto"/>
      <w:ind w:firstLine="200"/>
    </w:pPr>
    <w:rPr>
      <w:kern w:val="0"/>
      <w:sz w:val="30"/>
      <w:szCs w:val="30"/>
    </w:rPr>
  </w:style>
  <w:style w:type="character" w:customStyle="1" w:styleId="17">
    <w:name w:val="正文1 字符"/>
    <w:link w:val="16"/>
    <w:autoRedefine/>
    <w:qFormat/>
    <w:uiPriority w:val="0"/>
    <w:rPr>
      <w:rFonts w:ascii="Times New Roman" w:hAnsi="Times New Roman" w:eastAsia="仿宋_GB2312"/>
      <w:sz w:val="30"/>
      <w:szCs w:val="30"/>
    </w:rPr>
  </w:style>
  <w:style w:type="character" w:customStyle="1" w:styleId="18">
    <w:name w:val="标题 2 字符"/>
    <w:link w:val="2"/>
    <w:autoRedefine/>
    <w:qFormat/>
    <w:uiPriority w:val="0"/>
    <w:rPr>
      <w:rFonts w:ascii="Calibri Light" w:hAnsi="Calibri Light"/>
      <w:b/>
      <w:kern w:val="2"/>
      <w:sz w:val="3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2818</Words>
  <Characters>3153</Characters>
  <Lines>30</Lines>
  <Paragraphs>8</Paragraphs>
  <TotalTime>4</TotalTime>
  <ScaleCrop>false</ScaleCrop>
  <LinksUpToDate>false</LinksUpToDate>
  <CharactersWithSpaces>3158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2024-07-01T02:57:00Z</dcterms:created>
  <dc:creator>微软用户</dc:creator>
  <cp:lastModifiedBy>Eternal7</cp:lastModifiedBy>
  <cp:lastPrinted>2021-12-30T06:47:00Z</cp:lastPrinted>
  <dcterms:modified xsi:type="dcterms:W3CDTF">2025-06-05T01:54:26Z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45B54F5CC582477CACD9DD9EC3B2ADE7_13</vt:lpwstr>
  </property>
  <property fmtid="{D5CDD505-2E9C-101B-9397-08002B2CF9AE}" pid="4" name="KSOTemplateDocerSaveRecord">
    <vt:lpwstr>eyJoZGlkIjoiMDhmYjdkY2Y2YWY1OWQ2YmY2YTA1MjQ2OThhY2IwMDIiLCJ1c2VySWQiOiI2MzgyMzMzOTQifQ==</vt:lpwstr>
  </property>
</Properties>
</file>