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880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相城区污水处理费征收使用管理办法</w:t>
      </w:r>
    </w:p>
    <w:p>
      <w:pPr>
        <w:ind w:firstLine="880"/>
        <w:jc w:val="center"/>
        <w:rPr>
          <w:rFonts w:ascii="黑体" w:hAnsi="黑体" w:eastAsia="黑体" w:cs="黑体"/>
          <w:sz w:val="44"/>
          <w:szCs w:val="44"/>
        </w:rPr>
      </w:pPr>
      <w:r>
        <w:rPr>
          <w:rFonts w:hint="eastAsia" w:ascii="黑体" w:hAnsi="黑体" w:eastAsia="黑体" w:cs="黑体"/>
          <w:sz w:val="44"/>
          <w:szCs w:val="44"/>
        </w:rPr>
        <w:t>（征求意见稿）</w:t>
      </w:r>
    </w:p>
    <w:p>
      <w:pPr>
        <w:ind w:firstLine="880"/>
        <w:jc w:val="center"/>
        <w:rPr>
          <w:rFonts w:ascii="黑体" w:hAnsi="黑体" w:eastAsia="黑体" w:cs="黑体"/>
          <w:sz w:val="44"/>
          <w:szCs w:val="44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第一章 总则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为规范污水处理费征收、使用和管理,保障排水事业健康发展,促进水环境改善,根据国家和省市有关规定,结合本区实际,制定本办法。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第二条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本办法适用于本区行政区域内污水处理费征收、使用和管理工作。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第三条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污水处理费属于政府非税收入，区水务局为征收主管部</w:t>
      </w:r>
      <w:r>
        <w:rPr>
          <w:rFonts w:hint="eastAsia" w:ascii="仿宋_GB2312" w:hAnsi="仿宋_GB2312" w:eastAsia="仿宋_GB2312" w:cs="仿宋_GB2312"/>
          <w:sz w:val="32"/>
          <w:szCs w:val="32"/>
        </w:rPr>
        <w:t>门。污水处理费纳入地方政府性基金预算管理。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第四条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区发改委、财政局、水务局、审计局、相城生态环境局等部门按照各自职责共同做好污水处理费征收、使用、管理和监督工作。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区发改委负责贯彻落实污水处理费价格、差别化价格标准。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区财政局负责加强对污水处理费的征收、使用和管理的监督检查。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区水务局负责污水处理费的日常征收、使用和管理。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区财政局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和区水务局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每年向社会公布污水处理费的征收、使用情况。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区审计局负责对污水处理费的征收、使用和管理开展审计监督。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相城生态环境局负责开展企业环保信用评价等级工作，定期向社会公布企业环保信用评价结果。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第二章 污水处理费的征收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第五条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凡向城镇排水与污水处理设施排放污水、废水的单位和个人，应当缴纳污水处理费。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污水处理费按照规定的标准征收，任何单位和个人不得违规减免、缓征污水处理费。</w:t>
      </w:r>
    </w:p>
    <w:p>
      <w:pPr>
        <w:spacing w:line="560" w:lineRule="exact"/>
        <w:ind w:firstLine="64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对于重污染行业（化工、医药、钢铁、印染、造纸、电镀等行业）的用水单位和个人，按照差别化污水处理收费政策相关规定执行。</w:t>
      </w:r>
    </w:p>
    <w:p>
      <w:pPr>
        <w:numPr>
          <w:ilvl w:val="0"/>
          <w:numId w:val="1"/>
        </w:numPr>
        <w:spacing w:line="560" w:lineRule="exact"/>
        <w:ind w:firstLine="640" w:firstLineChars="200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污水处理费一般按用水量计征。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使用自来水的单位和个人，其用水量以供水企业抄表数为准。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使用自备水源的单位和个人已安装计量设备的，其用水量以计量设备显示的量值为准；未安装计量设备或者计量设备不能正常使用的，其用水量按取水设施额定流量每日运转</w:t>
      </w:r>
      <w:r>
        <w:rPr>
          <w:rFonts w:eastAsia="仿宋_GB2312"/>
          <w:sz w:val="32"/>
          <w:szCs w:val="32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小时计算。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第八条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使用自来水的单位和个人，污水处理费由区水务局委托供水企业在收取自来水费时一并收取，全区随自来水费征收的污水处理费统一全额上缴区级国库。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使用自备水源的单位和个人，污水处理费由区水务局征收，统一全额上缴区级国库。区水务局收取污水处理费时, 应使用省财政厅统一监（印）制的财政票据，并及时足额上缴区级国库。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第九条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区水务局委托供水企业或其他单位代征污水处理费的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代征手续费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，由区财政局从污水处理费支出预算中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安排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具体办法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由区财政局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制定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line="560" w:lineRule="exact"/>
        <w:ind w:left="420" w:left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hint="default" w:ascii="仿宋_GB2312" w:hAnsi="仿宋_GB2312" w:eastAsia="黑体" w:cs="仿宋_GB2312"/>
          <w:color w:val="FF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第三章 污水处理费的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使用</w:t>
      </w:r>
      <w:r>
        <w:rPr>
          <w:rFonts w:hint="eastAsia" w:ascii="黑体" w:hAnsi="黑体" w:eastAsia="黑体" w:cs="黑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管理</w:t>
      </w:r>
    </w:p>
    <w:p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污水处理费用于城镇污水处理设施的建设、运行和污泥处理处置，以及污水处理费代征手续费的支出。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纳入相城区污水治理ABO项目合同范围内的污水治理，所需项目年度经费由区水务局根据ABO项目合同约定编制年度项目经费支出预算，经区财政局审核后，纳入区财政预算，报经批准后执行。</w:t>
      </w:r>
    </w:p>
    <w:p>
      <w:pPr>
        <w:spacing w:line="560" w:lineRule="exact"/>
        <w:ind w:firstLine="643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第十一条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污水处理费的使用实行预算管理。区水务局应当根据城镇排水与污水处理设施的建设、运行和污泥处理处置情况，编制年度城镇排水与污水处理服务费支出预算，经区财政局审核后，纳入区级财政预算报经批准后执行。</w:t>
      </w:r>
    </w:p>
    <w:p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第四章 法律责任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单位和个人违反本办法规定，有坐收坐支、截留、挤占和挪用污水处理费等情形的，按照国家有关规定追究法律责任。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第五章 附则</w:t>
      </w:r>
    </w:p>
    <w:p>
      <w:pPr>
        <w:spacing w:line="560" w:lineRule="exact"/>
        <w:ind w:firstLine="643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第十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本办法自</w:t>
      </w:r>
      <w:r>
        <w:rPr>
          <w:rFonts w:eastAsia="仿宋_GB2312"/>
          <w:sz w:val="32"/>
          <w:szCs w:val="32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</w:rPr>
        <w:t>年 月 日起执行，有效期5年，此前本地区有关污水处理费征收使用管理的规定与本办法不一致的，以本办法为准。</w:t>
      </w:r>
    </w:p>
    <w:p>
      <w:pPr>
        <w:ind w:firstLine="640"/>
      </w:pPr>
    </w:p>
    <w:p>
      <w:pPr>
        <w:spacing w:line="480" w:lineRule="exact"/>
        <w:ind w:firstLine="640"/>
      </w:pPr>
      <w:bookmarkStart w:id="0" w:name="_GoBack"/>
      <w:bookmarkEnd w:id="0"/>
    </w:p>
    <w:sectPr>
      <w:footerReference r:id="rId3" w:type="default"/>
      <w:pgSz w:w="11906" w:h="16838"/>
      <w:pgMar w:top="1440" w:right="1286" w:bottom="1440" w:left="1380" w:header="851" w:footer="79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433321768"/>
    </w:sdtPr>
    <w:sdtEndPr>
      <w:rPr>
        <w:rFonts w:asciiTheme="minorEastAsia" w:hAnsiTheme="minorEastAsia" w:eastAsiaTheme="minorEastAsia"/>
        <w:sz w:val="28"/>
        <w:szCs w:val="28"/>
      </w:rPr>
    </w:sdtEndPr>
    <w:sdtContent>
      <w:p>
        <w:pPr>
          <w:pStyle w:val="4"/>
          <w:ind w:firstLine="360"/>
          <w:jc w:val="center"/>
          <w:rPr>
            <w:rFonts w:asciiTheme="minorEastAsia" w:hAnsiTheme="minorEastAsia" w:eastAsiaTheme="minorEastAsia"/>
            <w:sz w:val="28"/>
            <w:szCs w:val="28"/>
          </w:rPr>
        </w:pPr>
        <w:r>
          <w:rPr>
            <w:rFonts w:asciiTheme="minorEastAsia" w:hAnsiTheme="minorEastAsia" w:eastAsiaTheme="minorEastAsia"/>
            <w:sz w:val="28"/>
            <w:szCs w:val="28"/>
          </w:rPr>
          <w:t>—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begin"/>
        </w:r>
        <w:r>
          <w:rPr>
            <w:rFonts w:asciiTheme="minorEastAsia" w:hAnsiTheme="minorEastAsia" w:eastAsiaTheme="minorEastAsia"/>
            <w:sz w:val="28"/>
            <w:szCs w:val="28"/>
          </w:rPr>
          <w:instrText xml:space="preserve">PAGE   \* MERGEFORMAT</w:instrTex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separate"/>
        </w:r>
        <w:r>
          <w:rPr>
            <w:rFonts w:asciiTheme="minorEastAsia" w:hAnsiTheme="minorEastAsia" w:eastAsiaTheme="minorEastAsia"/>
            <w:sz w:val="28"/>
            <w:szCs w:val="28"/>
            <w:lang w:val="zh-CN"/>
          </w:rPr>
          <w:t>3</w:t>
        </w:r>
        <w:r>
          <w:rPr>
            <w:rFonts w:asciiTheme="minorEastAsia" w:hAnsiTheme="minorEastAsia" w:eastAsiaTheme="minorEastAsia"/>
            <w:sz w:val="28"/>
            <w:szCs w:val="28"/>
          </w:rPr>
          <w:fldChar w:fldCharType="end"/>
        </w:r>
        <w:r>
          <w:rPr>
            <w:rFonts w:asciiTheme="minorEastAsia" w:hAnsiTheme="minorEastAsia" w:eastAsiaTheme="minorEastAsia"/>
            <w:sz w:val="28"/>
            <w:szCs w:val="28"/>
          </w:rPr>
          <w:t>—</w:t>
        </w:r>
      </w:p>
    </w:sdtContent>
  </w:sdt>
  <w:p>
    <w:pPr>
      <w:pStyle w:val="4"/>
      <w:ind w:firstLine="360"/>
    </w:pPr>
  </w:p>
  <w:p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E3600C"/>
    <w:multiLevelType w:val="singleLevel"/>
    <w:tmpl w:val="DFE3600C"/>
    <w:lvl w:ilvl="0" w:tentative="0">
      <w:start w:val="6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llMzQ2MTAwMGM2NDQ4ZjI5MDlmOWQ0MTdkYjAyOGMifQ=="/>
  </w:docVars>
  <w:rsids>
    <w:rsidRoot w:val="00FB2C4A"/>
    <w:rsid w:val="00044AA1"/>
    <w:rsid w:val="000A1295"/>
    <w:rsid w:val="000E5B88"/>
    <w:rsid w:val="001A2808"/>
    <w:rsid w:val="002C3387"/>
    <w:rsid w:val="002E6CD9"/>
    <w:rsid w:val="00307B51"/>
    <w:rsid w:val="003704F7"/>
    <w:rsid w:val="004052F3"/>
    <w:rsid w:val="00435A89"/>
    <w:rsid w:val="005B048E"/>
    <w:rsid w:val="005C38CF"/>
    <w:rsid w:val="005C4F30"/>
    <w:rsid w:val="006B7F5D"/>
    <w:rsid w:val="00737DB3"/>
    <w:rsid w:val="00757AC7"/>
    <w:rsid w:val="007841BA"/>
    <w:rsid w:val="008A0CDF"/>
    <w:rsid w:val="009C6E34"/>
    <w:rsid w:val="009F2096"/>
    <w:rsid w:val="00A10109"/>
    <w:rsid w:val="00A272FB"/>
    <w:rsid w:val="00AF7821"/>
    <w:rsid w:val="00B60331"/>
    <w:rsid w:val="00BA2483"/>
    <w:rsid w:val="00BB011E"/>
    <w:rsid w:val="00BB63D7"/>
    <w:rsid w:val="00BD73E5"/>
    <w:rsid w:val="00C02856"/>
    <w:rsid w:val="00C306B4"/>
    <w:rsid w:val="00C82BEE"/>
    <w:rsid w:val="00C87B3C"/>
    <w:rsid w:val="00D024C2"/>
    <w:rsid w:val="00D10181"/>
    <w:rsid w:val="00D45DF6"/>
    <w:rsid w:val="00D71AE3"/>
    <w:rsid w:val="00DD6A1A"/>
    <w:rsid w:val="00E1671C"/>
    <w:rsid w:val="00F5251D"/>
    <w:rsid w:val="00FB2C4A"/>
    <w:rsid w:val="06B4724D"/>
    <w:rsid w:val="1C8135A2"/>
    <w:rsid w:val="2B477EA5"/>
    <w:rsid w:val="32BD19CC"/>
    <w:rsid w:val="3E792040"/>
    <w:rsid w:val="3FBD5A33"/>
    <w:rsid w:val="440E2CEE"/>
    <w:rsid w:val="6B647B3E"/>
    <w:rsid w:val="6C63165E"/>
    <w:rsid w:val="6ED976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autoRedefine/>
    <w:qFormat/>
    <w:uiPriority w:val="0"/>
    <w:rPr>
      <w:rFonts w:ascii="宋体" w:hAnsi="Courier New" w:cs="Courier New"/>
      <w:szCs w:val="21"/>
    </w:rPr>
  </w:style>
  <w:style w:type="paragraph" w:styleId="3">
    <w:name w:val="Balloon Text"/>
    <w:basedOn w:val="1"/>
    <w:link w:val="14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autoRedefine/>
    <w:unhideWhenUsed/>
    <w:qFormat/>
    <w:uiPriority w:val="99"/>
    <w:rPr>
      <w:color w:val="0000FF"/>
      <w:u w:val="single"/>
    </w:rPr>
  </w:style>
  <w:style w:type="paragraph" w:customStyle="1" w:styleId="9">
    <w:name w:val="p0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0">
    <w:name w:val="纯文本 Char"/>
    <w:basedOn w:val="7"/>
    <w:autoRedefine/>
    <w:semiHidden/>
    <w:qFormat/>
    <w:uiPriority w:val="99"/>
    <w:rPr>
      <w:rFonts w:ascii="宋体" w:hAnsi="Courier New" w:cs="Courier New"/>
      <w:kern w:val="2"/>
      <w:sz w:val="21"/>
      <w:szCs w:val="21"/>
    </w:rPr>
  </w:style>
  <w:style w:type="character" w:customStyle="1" w:styleId="11">
    <w:name w:val="纯文本 Char1"/>
    <w:basedOn w:val="7"/>
    <w:link w:val="2"/>
    <w:autoRedefine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12">
    <w:name w:val="页眉 Char"/>
    <w:basedOn w:val="7"/>
    <w:link w:val="5"/>
    <w:autoRedefine/>
    <w:qFormat/>
    <w:uiPriority w:val="99"/>
    <w:rPr>
      <w:kern w:val="2"/>
      <w:sz w:val="18"/>
      <w:szCs w:val="18"/>
    </w:rPr>
  </w:style>
  <w:style w:type="character" w:customStyle="1" w:styleId="13">
    <w:name w:val="页脚 Char"/>
    <w:basedOn w:val="7"/>
    <w:link w:val="4"/>
    <w:autoRedefine/>
    <w:qFormat/>
    <w:uiPriority w:val="99"/>
    <w:rPr>
      <w:kern w:val="2"/>
      <w:sz w:val="18"/>
      <w:szCs w:val="18"/>
    </w:rPr>
  </w:style>
  <w:style w:type="character" w:customStyle="1" w:styleId="14">
    <w:name w:val="批注框文本 Char"/>
    <w:basedOn w:val="7"/>
    <w:link w:val="3"/>
    <w:autoRedefine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1C03A78-AAE5-4439-9415-DAA795F4F9D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1264</Words>
  <Characters>1272</Characters>
  <Lines>9</Lines>
  <Paragraphs>2</Paragraphs>
  <TotalTime>6</TotalTime>
  <ScaleCrop>false</ScaleCrop>
  <LinksUpToDate>false</LinksUpToDate>
  <CharactersWithSpaces>1295</CharactersWithSpaces>
  <Application>WPS Office_12.1.0.16910_F1E327BC-269C-435d-A152-05C5408002CA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2024-05-08T07:46:00Z</dcterms:created>
  <dc:creator>蒲文春</dc:creator>
  <cp:lastModifiedBy>王扬</cp:lastModifiedBy>
  <cp:lastPrinted>2024-04-08T07:02:00Z</cp:lastPrinted>
  <dcterms:modified xsi:type="dcterms:W3CDTF">2024-05-13T01:30:42Z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8CE9C1EF505A4B31A87A80187E1D8FFE_13</vt:lpwstr>
  </property>
</Properties>
</file>