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_GBK"/>
          <w:b/>
          <w:sz w:val="52"/>
          <w:szCs w:val="52"/>
        </w:rPr>
      </w:pPr>
    </w:p>
    <w:p>
      <w:pPr>
        <w:jc w:val="center"/>
        <w:rPr>
          <w:rFonts w:ascii="Times New Roman" w:hAnsi="Times New Roman" w:eastAsia="方正小标宋_GBK"/>
          <w:sz w:val="52"/>
          <w:szCs w:val="52"/>
        </w:rPr>
      </w:pPr>
      <w:r>
        <w:rPr>
          <w:rFonts w:ascii="Times New Roman" w:hAnsi="Times New Roman" w:eastAsia="方正小标宋_GBK"/>
          <w:sz w:val="52"/>
          <w:szCs w:val="52"/>
        </w:rPr>
        <w:t>江苏省固体（危险）废物</w:t>
      </w:r>
    </w:p>
    <w:p>
      <w:pPr>
        <w:jc w:val="center"/>
        <w:rPr>
          <w:rFonts w:ascii="Times New Roman" w:hAnsi="Times New Roman" w:eastAsia="方正小标宋_GBK"/>
          <w:sz w:val="52"/>
          <w:szCs w:val="52"/>
        </w:rPr>
      </w:pPr>
      <w:r>
        <w:rPr>
          <w:rFonts w:ascii="Times New Roman" w:hAnsi="Times New Roman" w:eastAsia="方正小标宋_GBK"/>
          <w:sz w:val="52"/>
          <w:szCs w:val="52"/>
        </w:rPr>
        <w:t>跨省</w:t>
      </w:r>
      <w:r>
        <w:rPr>
          <w:rFonts w:hint="eastAsia" w:ascii="Times New Roman" w:hAnsi="Times New Roman" w:eastAsia="方正小标宋_GBK"/>
          <w:sz w:val="52"/>
          <w:szCs w:val="52"/>
        </w:rPr>
        <w:t>（市）</w:t>
      </w:r>
      <w:r>
        <w:rPr>
          <w:rFonts w:ascii="Times New Roman" w:hAnsi="Times New Roman" w:eastAsia="方正小标宋_GBK"/>
          <w:sz w:val="52"/>
          <w:szCs w:val="52"/>
        </w:rPr>
        <w:t>转移实施方案</w:t>
      </w:r>
    </w:p>
    <w:p>
      <w:pPr>
        <w:jc w:val="center"/>
        <w:rPr>
          <w:rFonts w:ascii="Times New Roman" w:hAnsi="Times New Roman"/>
          <w:sz w:val="52"/>
        </w:rPr>
      </w:pPr>
    </w:p>
    <w:p>
      <w:pPr>
        <w:jc w:val="center"/>
        <w:rPr>
          <w:rFonts w:ascii="Times New Roman" w:hAnsi="Times New Roman"/>
          <w:sz w:val="52"/>
        </w:rPr>
      </w:pPr>
    </w:p>
    <w:p>
      <w:pPr>
        <w:jc w:val="cente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pStyle w:val="3"/>
        <w:tabs>
          <w:tab w:val="left" w:pos="5940"/>
        </w:tabs>
        <w:snapToGrid w:val="0"/>
        <w:ind w:left="7068" w:right="-197" w:rightChars="-94" w:hanging="7068" w:hangingChars="2200"/>
        <w:jc w:val="left"/>
        <w:rPr>
          <w:rFonts w:ascii="Times New Roman" w:hAnsi="Times New Roman"/>
          <w:b/>
          <w:sz w:val="32"/>
        </w:rPr>
      </w:pPr>
      <w:r>
        <w:rPr>
          <w:rFonts w:ascii="Times New Roman" w:hAnsi="宋体"/>
          <w:b/>
          <w:sz w:val="32"/>
        </w:rPr>
        <w:t>申请单位</w:t>
      </w:r>
      <w:r>
        <w:rPr>
          <w:rFonts w:hint="eastAsia" w:ascii="Times New Roman" w:hAnsi="宋体"/>
          <w:b/>
          <w:sz w:val="32"/>
        </w:rPr>
        <w:t>：</w:t>
      </w:r>
      <w:r>
        <w:rPr>
          <w:rFonts w:hint="eastAsia" w:ascii="Times New Roman" w:hAnsi="宋体"/>
          <w:b/>
          <w:sz w:val="32"/>
          <w:u w:val="single"/>
        </w:rPr>
        <w:t>上海振华重工（集团）股份有限公司长兴分公司</w:t>
      </w:r>
      <w:r>
        <w:rPr>
          <w:rFonts w:ascii="Times New Roman" w:hAnsi="Times New Roman"/>
          <w:b/>
          <w:sz w:val="32"/>
          <w:u w:val="single"/>
        </w:rPr>
        <w:t xml:space="preserve">   </w:t>
      </w:r>
      <w:r>
        <w:rPr>
          <w:rFonts w:ascii="Times New Roman" w:hAnsi="宋体"/>
          <w:b/>
          <w:sz w:val="32"/>
        </w:rPr>
        <w:t>（公章）</w:t>
      </w:r>
    </w:p>
    <w:p>
      <w:pPr>
        <w:tabs>
          <w:tab w:val="left" w:pos="5940"/>
        </w:tabs>
        <w:snapToGrid w:val="0"/>
        <w:rPr>
          <w:rFonts w:ascii="Times New Roman" w:hAnsi="Times New Roman"/>
          <w:b/>
          <w:sz w:val="32"/>
        </w:rPr>
      </w:pPr>
    </w:p>
    <w:p>
      <w:pPr>
        <w:tabs>
          <w:tab w:val="left" w:pos="5940"/>
        </w:tabs>
        <w:snapToGrid w:val="0"/>
        <w:rPr>
          <w:rFonts w:ascii="Times New Roman" w:hAnsi="Times New Roman"/>
          <w:b/>
          <w:sz w:val="32"/>
        </w:rPr>
      </w:pPr>
    </w:p>
    <w:p>
      <w:pPr>
        <w:tabs>
          <w:tab w:val="left" w:pos="5940"/>
        </w:tabs>
        <w:snapToGrid w:val="0"/>
        <w:rPr>
          <w:rFonts w:ascii="Times New Roman" w:hAnsi="Times New Roman"/>
          <w:b/>
          <w:sz w:val="32"/>
        </w:rPr>
      </w:pPr>
      <w:r>
        <w:rPr>
          <w:rFonts w:ascii="Times New Roman" w:hAnsi="宋体"/>
          <w:b/>
          <w:sz w:val="32"/>
        </w:rPr>
        <w:t>填报日期：</w:t>
      </w:r>
      <w:r>
        <w:rPr>
          <w:rFonts w:ascii="Times New Roman" w:hAnsi="Times New Roman"/>
          <w:b/>
          <w:sz w:val="32"/>
          <w:u w:val="single"/>
        </w:rPr>
        <w:t xml:space="preserve">      202</w:t>
      </w:r>
      <w:r>
        <w:rPr>
          <w:rFonts w:hint="eastAsia" w:ascii="Times New Roman" w:hAnsi="Times New Roman"/>
          <w:b/>
          <w:sz w:val="32"/>
          <w:u w:val="single"/>
        </w:rPr>
        <w:t xml:space="preserve">4年2月1日 </w:t>
      </w:r>
      <w:r>
        <w:rPr>
          <w:rFonts w:ascii="Times New Roman" w:hAnsi="Times New Roman"/>
          <w:b/>
          <w:sz w:val="32"/>
          <w:u w:val="single"/>
        </w:rPr>
        <w:t xml:space="preserve">            </w:t>
      </w:r>
    </w:p>
    <w:p>
      <w:pPr>
        <w:tabs>
          <w:tab w:val="left" w:pos="5940"/>
        </w:tabs>
        <w:snapToGrid w:val="0"/>
        <w:spacing w:line="400" w:lineRule="exact"/>
        <w:rPr>
          <w:rFonts w:ascii="Times New Roman" w:hAnsi="Times New Roman"/>
          <w:b/>
          <w:sz w:val="24"/>
        </w:rPr>
      </w:pPr>
    </w:p>
    <w:p>
      <w:pPr>
        <w:tabs>
          <w:tab w:val="left" w:pos="5940"/>
        </w:tabs>
        <w:snapToGrid w:val="0"/>
        <w:spacing w:line="400" w:lineRule="exact"/>
        <w:rPr>
          <w:rFonts w:ascii="Times New Roman" w:hAnsi="Times New Roman" w:eastAsia="楷体_GB2312"/>
          <w:spacing w:val="20"/>
          <w:sz w:val="30"/>
        </w:rPr>
      </w:pPr>
    </w:p>
    <w:p>
      <w:pPr>
        <w:tabs>
          <w:tab w:val="left" w:pos="5940"/>
        </w:tabs>
        <w:snapToGrid w:val="0"/>
        <w:spacing w:line="400" w:lineRule="exact"/>
        <w:rPr>
          <w:rFonts w:ascii="Times New Roman" w:hAnsi="Times New Roman"/>
          <w:b/>
          <w:sz w:val="24"/>
        </w:rPr>
      </w:pPr>
    </w:p>
    <w:p>
      <w:pPr>
        <w:tabs>
          <w:tab w:val="left" w:pos="5940"/>
        </w:tabs>
        <w:snapToGrid w:val="0"/>
        <w:spacing w:line="400" w:lineRule="exact"/>
        <w:rPr>
          <w:rFonts w:ascii="Times New Roman" w:hAnsi="Times New Roman"/>
          <w:b/>
          <w:sz w:val="24"/>
        </w:rPr>
      </w:pPr>
    </w:p>
    <w:p>
      <w:pPr>
        <w:tabs>
          <w:tab w:val="left" w:pos="5940"/>
        </w:tabs>
        <w:snapToGrid w:val="0"/>
        <w:spacing w:line="400" w:lineRule="exact"/>
        <w:rPr>
          <w:rFonts w:ascii="Times New Roman" w:hAnsi="Times New Roman"/>
          <w:b/>
          <w:sz w:val="24"/>
        </w:rPr>
      </w:pPr>
    </w:p>
    <w:p>
      <w:pPr>
        <w:tabs>
          <w:tab w:val="left" w:pos="5940"/>
        </w:tabs>
        <w:snapToGrid w:val="0"/>
        <w:spacing w:line="400" w:lineRule="exact"/>
        <w:jc w:val="center"/>
        <w:rPr>
          <w:rFonts w:ascii="Times New Roman" w:hAnsi="Times New Roman"/>
          <w:sz w:val="24"/>
        </w:rPr>
        <w:sectPr>
          <w:pgSz w:w="11906" w:h="16838"/>
          <w:pgMar w:top="1440" w:right="1800" w:bottom="1440" w:left="1800" w:header="851" w:footer="992" w:gutter="0"/>
          <w:pgNumType w:start="1"/>
          <w:cols w:space="425" w:num="1"/>
          <w:docGrid w:type="lines" w:linePitch="286" w:charSpace="0"/>
        </w:sectPr>
      </w:pPr>
      <w:r>
        <w:rPr>
          <w:rFonts w:ascii="Times New Roman" w:hAnsi="宋体"/>
          <w:b/>
          <w:sz w:val="24"/>
        </w:rPr>
        <w:t>江苏省环境保护厅制</w:t>
      </w:r>
    </w:p>
    <w:p>
      <w:pPr>
        <w:ind w:right="-758" w:rightChars="-361"/>
        <w:jc w:val="center"/>
        <w:rPr>
          <w:rFonts w:ascii="Times New Roman" w:hAnsi="Times New Roman" w:eastAsia="方正小标宋_GBK"/>
          <w:sz w:val="44"/>
          <w:szCs w:val="44"/>
        </w:rPr>
      </w:pPr>
      <w:r>
        <w:rPr>
          <w:rFonts w:ascii="Times New Roman" w:hAnsi="Times New Roman" w:eastAsia="方正小标宋_GBK"/>
          <w:sz w:val="44"/>
          <w:szCs w:val="44"/>
        </w:rPr>
        <w:t>申请者声明</w:t>
      </w:r>
    </w:p>
    <w:p>
      <w:pPr>
        <w:ind w:right="-758" w:rightChars="-361"/>
        <w:jc w:val="center"/>
        <w:rPr>
          <w:rFonts w:ascii="Times New Roman" w:hAnsi="Times New Roman" w:eastAsia="方正小标宋_GBK"/>
          <w:b/>
          <w:sz w:val="44"/>
          <w:szCs w:val="44"/>
        </w:rPr>
      </w:pPr>
    </w:p>
    <w:p>
      <w:pPr>
        <w:spacing w:line="360" w:lineRule="auto"/>
        <w:ind w:left="-210" w:leftChars="-100" w:right="-210" w:rightChars="-100" w:firstLine="640" w:firstLineChars="200"/>
        <w:rPr>
          <w:rFonts w:ascii="Times New Roman" w:hAnsi="Times New Roman" w:eastAsia="方正仿宋_GBK"/>
          <w:sz w:val="32"/>
          <w:szCs w:val="32"/>
        </w:rPr>
      </w:pPr>
      <w:r>
        <w:rPr>
          <w:rFonts w:ascii="Times New Roman" w:hAnsi="方正仿宋_GBK" w:eastAsia="方正仿宋_GBK"/>
          <w:sz w:val="32"/>
          <w:szCs w:val="32"/>
        </w:rPr>
        <w:t>我代表申请单位郑重承诺：本实施方案所填资料是完整的和真实的。转移的危险废物名称、</w:t>
      </w:r>
      <w:r>
        <w:rPr>
          <w:rFonts w:hint="eastAsia" w:ascii="Times New Roman" w:hAnsi="方正仿宋_GBK" w:eastAsia="方正仿宋_GBK"/>
          <w:sz w:val="32"/>
          <w:szCs w:val="32"/>
        </w:rPr>
        <w:t>类别、</w:t>
      </w:r>
      <w:r>
        <w:rPr>
          <w:rFonts w:ascii="Times New Roman" w:hAnsi="方正仿宋_GBK" w:eastAsia="方正仿宋_GBK"/>
          <w:sz w:val="32"/>
          <w:szCs w:val="32"/>
        </w:rPr>
        <w:t>代码、数量与实际相符</w:t>
      </w:r>
      <w:r>
        <w:rPr>
          <w:rFonts w:hint="eastAsia" w:ascii="Times New Roman" w:hAnsi="方正仿宋_GBK" w:eastAsia="方正仿宋_GBK"/>
          <w:sz w:val="32"/>
          <w:szCs w:val="32"/>
        </w:rPr>
        <w:t>。危险废物接受单位具备相应的处置利用能力</w:t>
      </w:r>
      <w:r>
        <w:rPr>
          <w:rFonts w:ascii="Times New Roman" w:hAnsi="方正仿宋_GBK" w:eastAsia="方正仿宋_GBK"/>
          <w:sz w:val="32"/>
          <w:szCs w:val="32"/>
        </w:rPr>
        <w:t>和污染防治</w:t>
      </w:r>
      <w:r>
        <w:rPr>
          <w:rFonts w:hint="eastAsia" w:ascii="Times New Roman" w:hAnsi="方正仿宋_GBK" w:eastAsia="方正仿宋_GBK"/>
          <w:sz w:val="32"/>
          <w:szCs w:val="32"/>
        </w:rPr>
        <w:t>措施。</w:t>
      </w:r>
      <w:r>
        <w:rPr>
          <w:rFonts w:ascii="Times New Roman" w:hAnsi="方正仿宋_GBK" w:eastAsia="方正仿宋_GBK"/>
          <w:sz w:val="32"/>
          <w:szCs w:val="32"/>
        </w:rPr>
        <w:t>委托有资质单位进行运输并按照制定的运输路线运输，保证转移的废物均到达接收单位进行安全处置处理，对转移过程中可能产生的环境风险提出合理的控制措施，实行跨省</w:t>
      </w:r>
      <w:r>
        <w:rPr>
          <w:rFonts w:hint="eastAsia" w:ascii="Times New Roman" w:hAnsi="方正仿宋_GBK" w:eastAsia="方正仿宋_GBK"/>
          <w:sz w:val="32"/>
          <w:szCs w:val="32"/>
        </w:rPr>
        <w:t>（市）</w:t>
      </w:r>
      <w:r>
        <w:rPr>
          <w:rFonts w:ascii="Times New Roman" w:hAnsi="方正仿宋_GBK" w:eastAsia="方正仿宋_GBK"/>
          <w:sz w:val="32"/>
          <w:szCs w:val="32"/>
        </w:rPr>
        <w:t>转移网上报告，承担转移全过程监控责任。</w:t>
      </w:r>
    </w:p>
    <w:p>
      <w:pPr>
        <w:ind w:left="-210" w:leftChars="-100" w:right="-210" w:rightChars="-100" w:firstLine="1264"/>
        <w:rPr>
          <w:rFonts w:ascii="Times New Roman" w:hAnsi="Times New Roman" w:eastAsia="方正仿宋_GBK"/>
          <w:sz w:val="36"/>
          <w:szCs w:val="36"/>
        </w:rPr>
      </w:pPr>
      <w:r>
        <w:rPr>
          <w:rFonts w:ascii="Times New Roman" w:hAnsi="Times New Roman" w:eastAsia="方正仿宋_GBK"/>
          <w:sz w:val="36"/>
          <w:szCs w:val="36"/>
        </w:rPr>
        <w:t xml:space="preserve">                                </w:t>
      </w:r>
    </w:p>
    <w:p>
      <w:pPr>
        <w:ind w:left="-210" w:leftChars="-100" w:right="-210" w:rightChars="-100" w:firstLine="1264"/>
        <w:rPr>
          <w:rFonts w:ascii="Times New Roman" w:hAnsi="Times New Roman" w:eastAsia="方正仿宋_GBK"/>
          <w:sz w:val="36"/>
          <w:szCs w:val="36"/>
        </w:rPr>
      </w:pPr>
    </w:p>
    <w:p>
      <w:pPr>
        <w:ind w:left="-210" w:leftChars="-100" w:right="-210" w:rightChars="-100" w:firstLine="1264"/>
        <w:rPr>
          <w:rFonts w:ascii="Times New Roman" w:hAnsi="Times New Roman" w:eastAsia="方正仿宋_GBK"/>
          <w:sz w:val="36"/>
          <w:szCs w:val="36"/>
        </w:rPr>
      </w:pPr>
    </w:p>
    <w:p>
      <w:pPr>
        <w:ind w:left="-210" w:leftChars="-100" w:right="-210" w:rightChars="-100" w:firstLine="1264"/>
        <w:rPr>
          <w:rFonts w:ascii="Times New Roman" w:hAnsi="Times New Roman" w:eastAsia="方正仿宋_GBK"/>
          <w:sz w:val="36"/>
          <w:szCs w:val="36"/>
        </w:rPr>
      </w:pPr>
      <w:r>
        <w:rPr>
          <w:rFonts w:ascii="Times New Roman" w:hAnsi="Times New Roman" w:eastAsia="方正仿宋_GBK"/>
          <w:sz w:val="32"/>
          <w:szCs w:val="32"/>
        </w:rPr>
        <w:t xml:space="preserve">     </w:t>
      </w:r>
    </w:p>
    <w:p>
      <w:pPr>
        <w:ind w:left="-210" w:leftChars="-100" w:right="-210" w:rightChars="-100" w:firstLine="1264"/>
        <w:jc w:val="center"/>
        <w:rPr>
          <w:rFonts w:ascii="Times New Roman" w:hAnsi="Times New Roman" w:eastAsia="方正仿宋_GBK"/>
          <w:sz w:val="32"/>
          <w:szCs w:val="32"/>
        </w:rPr>
      </w:pPr>
      <w:r>
        <w:rPr>
          <w:rFonts w:ascii="Times New Roman" w:hAnsi="Times New Roman" w:eastAsia="方正仿宋_GBK"/>
          <w:sz w:val="32"/>
          <w:szCs w:val="32"/>
        </w:rPr>
        <w:t xml:space="preserve">      </w:t>
      </w:r>
      <w:r>
        <w:rPr>
          <w:rFonts w:ascii="Times New Roman" w:hAnsi="方正仿宋_GBK" w:eastAsia="方正仿宋_GBK"/>
          <w:sz w:val="32"/>
          <w:szCs w:val="32"/>
        </w:rPr>
        <w:t>法人代表签字：</w:t>
      </w:r>
    </w:p>
    <w:p>
      <w:pPr>
        <w:ind w:left="-210" w:leftChars="-100" w:right="-210" w:rightChars="-100" w:firstLine="1264"/>
        <w:jc w:val="center"/>
        <w:rPr>
          <w:rFonts w:ascii="Times New Roman" w:hAnsi="Times New Roman"/>
          <w:sz w:val="36"/>
          <w:szCs w:val="36"/>
        </w:rPr>
      </w:pPr>
      <w:r>
        <w:rPr>
          <w:rFonts w:ascii="Times New Roman" w:hAnsi="Times New Roman"/>
          <w:sz w:val="36"/>
          <w:szCs w:val="36"/>
        </w:rPr>
        <w:t xml:space="preserve">                 202</w:t>
      </w:r>
      <w:r>
        <w:rPr>
          <w:rFonts w:hint="eastAsia" w:ascii="Times New Roman" w:hAnsi="Times New Roman"/>
          <w:sz w:val="36"/>
          <w:szCs w:val="36"/>
        </w:rPr>
        <w:t>4</w:t>
      </w:r>
      <w:r>
        <w:rPr>
          <w:rFonts w:ascii="Times New Roman" w:hAnsi="Times New Roman"/>
          <w:sz w:val="36"/>
          <w:szCs w:val="36"/>
        </w:rPr>
        <w:t xml:space="preserve"> </w:t>
      </w:r>
      <w:r>
        <w:rPr>
          <w:rFonts w:ascii="Times New Roman" w:hAnsi="方正仿宋_GBK" w:eastAsia="方正仿宋_GBK"/>
          <w:sz w:val="32"/>
          <w:szCs w:val="32"/>
        </w:rPr>
        <w:t>年</w:t>
      </w:r>
      <w:r>
        <w:rPr>
          <w:rFonts w:ascii="Times New Roman" w:hAnsi="Times New Roman" w:eastAsia="方正仿宋_GBK"/>
          <w:sz w:val="32"/>
          <w:szCs w:val="32"/>
        </w:rPr>
        <w:t xml:space="preserve">  </w:t>
      </w:r>
      <w:r>
        <w:rPr>
          <w:rFonts w:hint="eastAsia" w:ascii="Times New Roman" w:hAnsi="Times New Roman" w:eastAsia="方正仿宋_GBK"/>
          <w:sz w:val="32"/>
          <w:szCs w:val="32"/>
        </w:rPr>
        <w:t>1</w:t>
      </w:r>
      <w:r>
        <w:rPr>
          <w:rFonts w:ascii="Times New Roman" w:hAnsi="Times New Roman" w:eastAsia="方正仿宋_GBK"/>
          <w:sz w:val="32"/>
          <w:szCs w:val="32"/>
        </w:rPr>
        <w:t xml:space="preserve"> </w:t>
      </w:r>
      <w:r>
        <w:rPr>
          <w:rFonts w:ascii="Times New Roman" w:hAnsi="方正仿宋_GBK" w:eastAsia="方正仿宋_GBK"/>
          <w:sz w:val="32"/>
          <w:szCs w:val="32"/>
        </w:rPr>
        <w:t>月</w:t>
      </w:r>
      <w:r>
        <w:rPr>
          <w:rFonts w:ascii="Times New Roman" w:hAnsi="Times New Roman" w:eastAsia="方正仿宋_GBK"/>
          <w:sz w:val="32"/>
          <w:szCs w:val="32"/>
        </w:rPr>
        <w:t xml:space="preserve"> </w:t>
      </w:r>
      <w:r>
        <w:rPr>
          <w:rFonts w:hint="eastAsia" w:ascii="Times New Roman" w:hAnsi="Times New Roman" w:eastAsia="方正仿宋_GBK"/>
          <w:sz w:val="32"/>
          <w:szCs w:val="32"/>
        </w:rPr>
        <w:t>11</w:t>
      </w:r>
      <w:r>
        <w:rPr>
          <w:rFonts w:ascii="Times New Roman" w:hAnsi="方正仿宋_GBK" w:eastAsia="方正仿宋_GBK"/>
          <w:sz w:val="32"/>
          <w:szCs w:val="32"/>
        </w:rPr>
        <w:t>日</w:t>
      </w:r>
    </w:p>
    <w:p>
      <w:pPr>
        <w:ind w:left="-210" w:leftChars="-100" w:right="-210" w:rightChars="-100" w:firstLine="1264"/>
        <w:jc w:val="center"/>
        <w:rPr>
          <w:rFonts w:ascii="Times New Roman" w:hAnsi="Times New Roman"/>
          <w:sz w:val="36"/>
          <w:szCs w:val="36"/>
        </w:rPr>
      </w:pPr>
    </w:p>
    <w:p>
      <w:pPr>
        <w:ind w:left="-708" w:leftChars="-337" w:right="-758" w:rightChars="-361" w:firstLine="1264"/>
        <w:rPr>
          <w:rFonts w:ascii="Times New Roman" w:hAnsi="Times New Roman"/>
          <w:sz w:val="36"/>
          <w:szCs w:val="36"/>
        </w:rPr>
      </w:pPr>
    </w:p>
    <w:p>
      <w:pPr>
        <w:ind w:left="-708" w:leftChars="-337" w:right="-758" w:rightChars="-361" w:firstLine="1264"/>
        <w:rPr>
          <w:rFonts w:ascii="Times New Roman" w:hAnsi="Times New Roman"/>
          <w:sz w:val="36"/>
          <w:szCs w:val="36"/>
        </w:rPr>
      </w:pPr>
    </w:p>
    <w:p>
      <w:pPr>
        <w:ind w:left="-708" w:leftChars="-337" w:right="-758" w:rightChars="-361" w:firstLine="1264"/>
        <w:rPr>
          <w:rFonts w:ascii="Times New Roman" w:hAnsi="Times New Roman"/>
          <w:sz w:val="36"/>
          <w:szCs w:val="36"/>
        </w:rPr>
      </w:pPr>
    </w:p>
    <w:p>
      <w:pPr>
        <w:ind w:left="-708" w:leftChars="-337" w:right="-758" w:rightChars="-361" w:firstLine="1264"/>
        <w:rPr>
          <w:rFonts w:ascii="Times New Roman" w:hAnsi="Times New Roman"/>
          <w:sz w:val="28"/>
        </w:rPr>
      </w:pPr>
    </w:p>
    <w:p>
      <w:pPr>
        <w:ind w:right="-758" w:rightChars="-361"/>
        <w:rPr>
          <w:rFonts w:ascii="Times New Roman" w:hAnsi="Times New Roman"/>
          <w:sz w:val="28"/>
        </w:rPr>
      </w:pPr>
    </w:p>
    <w:p>
      <w:pPr>
        <w:ind w:left="-708" w:leftChars="-337" w:right="-758" w:rightChars="-361" w:firstLine="1264"/>
        <w:rPr>
          <w:rFonts w:ascii="Times New Roman" w:hAnsi="Times New Roman"/>
          <w:sz w:val="28"/>
        </w:rPr>
      </w:pPr>
    </w:p>
    <w:p>
      <w:pPr>
        <w:ind w:left="-708" w:leftChars="-337" w:right="-758" w:rightChars="-361" w:firstLine="1264"/>
        <w:rPr>
          <w:rFonts w:ascii="Times New Roman" w:hAnsi="Times New Roman"/>
          <w:sz w:val="28"/>
        </w:rPr>
      </w:pPr>
    </w:p>
    <w:p>
      <w:pPr>
        <w:ind w:left="-708" w:leftChars="-337" w:right="-758" w:rightChars="-361" w:firstLine="1264"/>
        <w:rPr>
          <w:rFonts w:ascii="Times New Roman" w:hAnsi="Times New Roman"/>
          <w:sz w:val="28"/>
        </w:rPr>
      </w:pPr>
    </w:p>
    <w:p>
      <w:pPr>
        <w:rPr>
          <w:rFonts w:ascii="Times New Roman" w:hAnsi="Times New Roman" w:eastAsia="黑体"/>
          <w:sz w:val="28"/>
          <w:szCs w:val="28"/>
        </w:rPr>
      </w:pPr>
      <w:r>
        <w:rPr>
          <w:rFonts w:ascii="Times New Roman" w:eastAsia="黑体"/>
          <w:sz w:val="28"/>
          <w:szCs w:val="28"/>
        </w:rPr>
        <w:t>第一部分：拟转移废物基本情况</w:t>
      </w:r>
    </w:p>
    <w:tbl>
      <w:tblPr>
        <w:tblStyle w:val="7"/>
        <w:tblW w:w="9135" w:type="dxa"/>
        <w:tblInd w:w="-4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2052"/>
        <w:gridCol w:w="1350"/>
        <w:gridCol w:w="2409"/>
        <w:gridCol w:w="1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trPr>
        <w:tc>
          <w:tcPr>
            <w:tcW w:w="9135" w:type="dxa"/>
            <w:gridSpan w:val="5"/>
          </w:tcPr>
          <w:p>
            <w:pPr>
              <w:rPr>
                <w:rFonts w:ascii="Times New Roman" w:hAnsi="Times New Roman" w:eastAsia="黑体"/>
                <w:sz w:val="24"/>
                <w:szCs w:val="24"/>
              </w:rPr>
            </w:pPr>
            <w:r>
              <w:rPr>
                <w:rFonts w:ascii="Times New Roman" w:eastAsia="黑体"/>
                <w:sz w:val="24"/>
                <w:szCs w:val="24"/>
              </w:rPr>
              <w:t>表</w:t>
            </w:r>
            <w:r>
              <w:rPr>
                <w:rFonts w:ascii="Times New Roman" w:hAnsi="Times New Roman" w:eastAsia="黑体"/>
                <w:sz w:val="24"/>
                <w:szCs w:val="24"/>
              </w:rPr>
              <w:t xml:space="preserve">1 </w:t>
            </w:r>
            <w:r>
              <w:rPr>
                <w:rFonts w:ascii="Times New Roman" w:eastAsia="黑体"/>
                <w:sz w:val="24"/>
                <w:szCs w:val="24"/>
              </w:rPr>
              <w:t>废物产生情况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2" w:hRule="atLeast"/>
        </w:trPr>
        <w:tc>
          <w:tcPr>
            <w:tcW w:w="9135" w:type="dxa"/>
            <w:gridSpan w:val="5"/>
          </w:tcPr>
          <w:p>
            <w:pPr>
              <w:spacing w:line="300" w:lineRule="exact"/>
              <w:rPr>
                <w:rFonts w:ascii="Times New Roman"/>
                <w:szCs w:val="21"/>
              </w:rPr>
            </w:pPr>
            <w:r>
              <w:rPr>
                <w:rFonts w:ascii="Times New Roman"/>
                <w:szCs w:val="21"/>
              </w:rPr>
              <w:t>废物产生企业概况（企业投产时间、主要经营范围及规模）</w:t>
            </w:r>
          </w:p>
          <w:p>
            <w:pPr>
              <w:spacing w:line="300" w:lineRule="exact"/>
              <w:ind w:firstLine="420" w:firstLineChars="200"/>
              <w:rPr>
                <w:rFonts w:ascii="Times New Roman"/>
                <w:szCs w:val="21"/>
              </w:rPr>
            </w:pPr>
          </w:p>
          <w:p>
            <w:pPr>
              <w:spacing w:line="300" w:lineRule="exact"/>
              <w:ind w:firstLine="420" w:firstLineChars="200"/>
              <w:rPr>
                <w:rFonts w:ascii="Times New Roman"/>
                <w:szCs w:val="21"/>
              </w:rPr>
            </w:pPr>
            <w:r>
              <w:rPr>
                <w:rFonts w:hint="eastAsia" w:ascii="Times New Roman"/>
                <w:szCs w:val="21"/>
              </w:rPr>
              <w:t>上海振华重工（集团）股份有限公司长兴分公司成立于2001年，主要从事船舶制造、金属预处理，起重机配件、钢结构加工和销售，机电成套设备的设计、制造、安装等。年生产能力包括：大小行车装置产量24865吨，小件配套件11759吨，车轮、走轮约5000件。</w:t>
            </w:r>
          </w:p>
          <w:p>
            <w:pPr>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trPr>
        <w:tc>
          <w:tcPr>
            <w:tcW w:w="9135" w:type="dxa"/>
            <w:gridSpan w:val="5"/>
            <w:vAlign w:val="center"/>
          </w:tcPr>
          <w:p>
            <w:pPr>
              <w:spacing w:line="300" w:lineRule="exact"/>
              <w:rPr>
                <w:rFonts w:ascii="Times New Roman" w:hAnsi="Times New Roman"/>
                <w:szCs w:val="21"/>
              </w:rPr>
            </w:pPr>
            <w:r>
              <w:rPr>
                <w:rFonts w:ascii="Times New Roman"/>
                <w:szCs w:val="21"/>
              </w:rPr>
              <w:t>产品及产废情况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trPr>
        <w:tc>
          <w:tcPr>
            <w:tcW w:w="4920" w:type="dxa"/>
            <w:gridSpan w:val="3"/>
            <w:vAlign w:val="center"/>
          </w:tcPr>
          <w:p>
            <w:pPr>
              <w:spacing w:line="300" w:lineRule="exact"/>
              <w:jc w:val="center"/>
              <w:rPr>
                <w:rFonts w:ascii="Times New Roman" w:hAnsi="Times New Roman"/>
                <w:color w:val="404040" w:themeColor="text1" w:themeTint="BF"/>
                <w:szCs w:val="21"/>
                <w14:textFill>
                  <w14:solidFill>
                    <w14:schemeClr w14:val="tx1">
                      <w14:lumMod w14:val="75000"/>
                      <w14:lumOff w14:val="25000"/>
                    </w14:schemeClr>
                  </w14:solidFill>
                </w14:textFill>
              </w:rPr>
            </w:pPr>
            <w:r>
              <w:rPr>
                <w:rFonts w:ascii="Times New Roman"/>
                <w:color w:val="404040" w:themeColor="text1" w:themeTint="BF"/>
                <w:szCs w:val="21"/>
                <w14:textFill>
                  <w14:solidFill>
                    <w14:schemeClr w14:val="tx1">
                      <w14:lumMod w14:val="75000"/>
                      <w14:lumOff w14:val="25000"/>
                    </w14:schemeClr>
                  </w14:solidFill>
                </w14:textFill>
              </w:rPr>
              <w:t>产品情况</w:t>
            </w:r>
          </w:p>
        </w:tc>
        <w:tc>
          <w:tcPr>
            <w:tcW w:w="4215" w:type="dxa"/>
            <w:gridSpan w:val="2"/>
            <w:vAlign w:val="center"/>
          </w:tcPr>
          <w:p>
            <w:pPr>
              <w:spacing w:line="300" w:lineRule="exact"/>
              <w:jc w:val="center"/>
              <w:rPr>
                <w:rFonts w:ascii="Times New Roman" w:hAnsi="Times New Roman"/>
                <w:szCs w:val="21"/>
              </w:rPr>
            </w:pPr>
            <w:r>
              <w:rPr>
                <w:rFonts w:ascii="Times New Roman"/>
                <w:szCs w:val="21"/>
              </w:rPr>
              <w:t>产生危险废物情况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1518" w:type="dxa"/>
            <w:vAlign w:val="center"/>
          </w:tcPr>
          <w:p>
            <w:pPr>
              <w:spacing w:line="300" w:lineRule="exact"/>
              <w:jc w:val="center"/>
              <w:rPr>
                <w:rFonts w:ascii="Times New Roman" w:hAnsi="Times New Roman"/>
                <w:szCs w:val="21"/>
              </w:rPr>
            </w:pPr>
            <w:r>
              <w:rPr>
                <w:rFonts w:ascii="Times New Roman"/>
                <w:color w:val="404040" w:themeColor="text1" w:themeTint="BF"/>
                <w:szCs w:val="21"/>
                <w14:textFill>
                  <w14:solidFill>
                    <w14:schemeClr w14:val="tx1">
                      <w14:lumMod w14:val="75000"/>
                      <w14:lumOff w14:val="25000"/>
                    </w14:schemeClr>
                  </w14:solidFill>
                </w14:textFill>
              </w:rPr>
              <w:t>产品名称</w:t>
            </w:r>
          </w:p>
        </w:tc>
        <w:tc>
          <w:tcPr>
            <w:tcW w:w="2052" w:type="dxa"/>
            <w:vAlign w:val="center"/>
          </w:tcPr>
          <w:p>
            <w:pPr>
              <w:spacing w:line="300" w:lineRule="exact"/>
              <w:jc w:val="center"/>
              <w:rPr>
                <w:rFonts w:ascii="Times New Roman" w:hAnsi="Times New Roman"/>
                <w:color w:val="404040" w:themeColor="text1" w:themeTint="BF"/>
                <w:szCs w:val="21"/>
                <w14:textFill>
                  <w14:solidFill>
                    <w14:schemeClr w14:val="tx1">
                      <w14:lumMod w14:val="75000"/>
                      <w14:lumOff w14:val="25000"/>
                    </w14:schemeClr>
                  </w14:solidFill>
                </w14:textFill>
              </w:rPr>
            </w:pPr>
            <w:r>
              <w:rPr>
                <w:rFonts w:ascii="Times New Roman"/>
                <w:color w:val="404040" w:themeColor="text1" w:themeTint="BF"/>
                <w:szCs w:val="21"/>
                <w14:textFill>
                  <w14:solidFill>
                    <w14:schemeClr w14:val="tx1">
                      <w14:lumMod w14:val="75000"/>
                      <w14:lumOff w14:val="25000"/>
                    </w14:schemeClr>
                  </w14:solidFill>
                </w14:textFill>
              </w:rPr>
              <w:t>主要成分化学名</w:t>
            </w:r>
          </w:p>
        </w:tc>
        <w:tc>
          <w:tcPr>
            <w:tcW w:w="1350" w:type="dxa"/>
            <w:vAlign w:val="center"/>
          </w:tcPr>
          <w:p>
            <w:pPr>
              <w:spacing w:line="300" w:lineRule="exact"/>
              <w:jc w:val="center"/>
              <w:rPr>
                <w:rFonts w:ascii="Times New Roman" w:hAnsi="Times New Roman"/>
                <w:color w:val="404040" w:themeColor="text1" w:themeTint="BF"/>
                <w:szCs w:val="21"/>
                <w14:textFill>
                  <w14:solidFill>
                    <w14:schemeClr w14:val="tx1">
                      <w14:lumMod w14:val="75000"/>
                      <w14:lumOff w14:val="25000"/>
                    </w14:schemeClr>
                  </w14:solidFill>
                </w14:textFill>
              </w:rPr>
            </w:pPr>
            <w:r>
              <w:rPr>
                <w:rFonts w:ascii="Times New Roman"/>
                <w:color w:val="404040" w:themeColor="text1" w:themeTint="BF"/>
                <w:szCs w:val="21"/>
                <w14:textFill>
                  <w14:solidFill>
                    <w14:schemeClr w14:val="tx1">
                      <w14:lumMod w14:val="75000"/>
                      <w14:lumOff w14:val="25000"/>
                    </w14:schemeClr>
                  </w14:solidFill>
                </w14:textFill>
              </w:rPr>
              <w:t>年产量</w:t>
            </w:r>
          </w:p>
        </w:tc>
        <w:tc>
          <w:tcPr>
            <w:tcW w:w="2409" w:type="dxa"/>
            <w:vAlign w:val="center"/>
          </w:tcPr>
          <w:p>
            <w:pPr>
              <w:spacing w:line="300" w:lineRule="exact"/>
              <w:jc w:val="center"/>
              <w:rPr>
                <w:rFonts w:ascii="Times New Roman" w:hAnsi="Times New Roman"/>
                <w:szCs w:val="21"/>
              </w:rPr>
            </w:pPr>
            <w:r>
              <w:rPr>
                <w:rFonts w:ascii="Times New Roman"/>
                <w:szCs w:val="21"/>
              </w:rPr>
              <w:t>废物名称</w:t>
            </w:r>
          </w:p>
        </w:tc>
        <w:tc>
          <w:tcPr>
            <w:tcW w:w="1806" w:type="dxa"/>
            <w:vAlign w:val="center"/>
          </w:tcPr>
          <w:p>
            <w:pPr>
              <w:spacing w:line="300" w:lineRule="exact"/>
              <w:jc w:val="center"/>
              <w:rPr>
                <w:rFonts w:ascii="Times New Roman" w:hAnsi="Times New Roman"/>
                <w:szCs w:val="21"/>
              </w:rPr>
            </w:pPr>
            <w:r>
              <w:rPr>
                <w:rFonts w:ascii="Times New Roman"/>
                <w:szCs w:val="21"/>
              </w:rPr>
              <w:t>年产生量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 w:hRule="atLeast"/>
        </w:trPr>
        <w:tc>
          <w:tcPr>
            <w:tcW w:w="1518" w:type="dxa"/>
            <w:vMerge w:val="restart"/>
            <w:vAlign w:val="center"/>
          </w:tcPr>
          <w:p>
            <w:pPr>
              <w:spacing w:line="300" w:lineRule="exact"/>
              <w:rPr>
                <w:rFonts w:ascii="Times New Roman" w:hAnsi="Times New Roman"/>
                <w:szCs w:val="24"/>
              </w:rPr>
            </w:pPr>
            <w:r>
              <w:rPr>
                <w:rFonts w:hint="eastAsia" w:ascii="Times New Roman" w:hAnsi="Times New Roman"/>
                <w:szCs w:val="24"/>
              </w:rPr>
              <w:t>港口起重设备</w:t>
            </w:r>
          </w:p>
        </w:tc>
        <w:tc>
          <w:tcPr>
            <w:tcW w:w="2052" w:type="dxa"/>
            <w:vMerge w:val="restart"/>
            <w:vAlign w:val="center"/>
          </w:tcPr>
          <w:p>
            <w:pPr>
              <w:spacing w:line="300" w:lineRule="exact"/>
              <w:jc w:val="center"/>
              <w:rPr>
                <w:rFonts w:ascii="Times New Roman" w:hAnsi="Times New Roman"/>
                <w:szCs w:val="24"/>
              </w:rPr>
            </w:pPr>
            <w:r>
              <w:rPr>
                <w:rFonts w:hint="eastAsia" w:ascii="Times New Roman" w:hAnsi="Times New Roman"/>
                <w:szCs w:val="24"/>
              </w:rPr>
              <w:t>钢铁</w:t>
            </w:r>
          </w:p>
        </w:tc>
        <w:tc>
          <w:tcPr>
            <w:tcW w:w="1350" w:type="dxa"/>
            <w:vMerge w:val="restart"/>
            <w:vAlign w:val="center"/>
          </w:tcPr>
          <w:p>
            <w:pPr>
              <w:spacing w:line="300" w:lineRule="exact"/>
              <w:jc w:val="center"/>
              <w:rPr>
                <w:rFonts w:ascii="Times New Roman" w:hAnsi="Times New Roman"/>
                <w:szCs w:val="24"/>
              </w:rPr>
            </w:pPr>
            <w:r>
              <w:rPr>
                <w:rFonts w:hint="eastAsia" w:ascii="Times New Roman" w:hAnsi="Times New Roman"/>
                <w:szCs w:val="24"/>
              </w:rPr>
              <w:t>约2</w:t>
            </w:r>
            <w:r>
              <w:rPr>
                <w:rFonts w:ascii="Times New Roman" w:hAnsi="Times New Roman"/>
                <w:szCs w:val="24"/>
              </w:rPr>
              <w:t>0</w:t>
            </w:r>
            <w:r>
              <w:rPr>
                <w:rFonts w:hint="eastAsia" w:ascii="Times New Roman" w:hAnsi="Times New Roman"/>
                <w:szCs w:val="24"/>
              </w:rPr>
              <w:t>万吨</w:t>
            </w:r>
          </w:p>
        </w:tc>
        <w:tc>
          <w:tcPr>
            <w:tcW w:w="2409" w:type="dxa"/>
            <w:vAlign w:val="center"/>
          </w:tcPr>
          <w:p>
            <w:pPr>
              <w:spacing w:line="300" w:lineRule="exact"/>
              <w:jc w:val="center"/>
              <w:rPr>
                <w:rFonts w:ascii="Times New Roman" w:hAnsi="Times New Roman"/>
                <w:szCs w:val="24"/>
              </w:rPr>
            </w:pPr>
            <w:r>
              <w:rPr>
                <w:rFonts w:hint="eastAsia" w:ascii="Times New Roman" w:hAnsi="Times New Roman"/>
                <w:szCs w:val="24"/>
              </w:rPr>
              <w:t>废活性炭</w:t>
            </w:r>
          </w:p>
        </w:tc>
        <w:tc>
          <w:tcPr>
            <w:tcW w:w="1806" w:type="dxa"/>
          </w:tcPr>
          <w:p>
            <w:pPr>
              <w:spacing w:line="300" w:lineRule="exact"/>
              <w:jc w:val="center"/>
              <w:rPr>
                <w:rFonts w:ascii="Times New Roman" w:hAnsi="Times New Roman"/>
                <w:szCs w:val="24"/>
              </w:rPr>
            </w:pPr>
            <w:r>
              <w:rPr>
                <w:rFonts w:hint="eastAsia" w:ascii="Times New Roman" w:hAnsi="Times New Roman"/>
                <w:szCs w:val="24"/>
              </w:rPr>
              <w:t>600吨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518" w:type="dxa"/>
            <w:vMerge w:val="continue"/>
            <w:vAlign w:val="center"/>
          </w:tcPr>
          <w:p>
            <w:pPr>
              <w:spacing w:line="300" w:lineRule="exact"/>
              <w:jc w:val="center"/>
              <w:rPr>
                <w:rFonts w:ascii="Times New Roman" w:hAnsi="Times New Roman"/>
                <w:szCs w:val="24"/>
              </w:rPr>
            </w:pPr>
          </w:p>
        </w:tc>
        <w:tc>
          <w:tcPr>
            <w:tcW w:w="2052" w:type="dxa"/>
            <w:vMerge w:val="continue"/>
            <w:vAlign w:val="center"/>
          </w:tcPr>
          <w:p>
            <w:pPr>
              <w:spacing w:line="300" w:lineRule="exact"/>
              <w:jc w:val="center"/>
              <w:rPr>
                <w:rFonts w:ascii="Times New Roman" w:hAnsi="Times New Roman"/>
                <w:szCs w:val="24"/>
              </w:rPr>
            </w:pPr>
          </w:p>
        </w:tc>
        <w:tc>
          <w:tcPr>
            <w:tcW w:w="1350" w:type="dxa"/>
            <w:vMerge w:val="continue"/>
            <w:vAlign w:val="center"/>
          </w:tcPr>
          <w:p>
            <w:pPr>
              <w:spacing w:line="300" w:lineRule="exact"/>
              <w:jc w:val="center"/>
              <w:rPr>
                <w:rFonts w:ascii="Times New Roman" w:hAnsi="Times New Roman"/>
                <w:szCs w:val="24"/>
              </w:rPr>
            </w:pPr>
          </w:p>
        </w:tc>
        <w:tc>
          <w:tcPr>
            <w:tcW w:w="2409" w:type="dxa"/>
            <w:vAlign w:val="center"/>
          </w:tcPr>
          <w:p>
            <w:pPr>
              <w:spacing w:line="300" w:lineRule="exact"/>
              <w:jc w:val="center"/>
              <w:rPr>
                <w:rFonts w:ascii="Times New Roman" w:hAnsi="Times New Roman"/>
                <w:szCs w:val="24"/>
              </w:rPr>
            </w:pPr>
          </w:p>
        </w:tc>
        <w:tc>
          <w:tcPr>
            <w:tcW w:w="1806" w:type="dxa"/>
          </w:tcPr>
          <w:p>
            <w:pPr>
              <w:spacing w:line="30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518" w:type="dxa"/>
            <w:vMerge w:val="continue"/>
            <w:vAlign w:val="center"/>
          </w:tcPr>
          <w:p>
            <w:pPr>
              <w:spacing w:line="300" w:lineRule="exact"/>
              <w:jc w:val="center"/>
              <w:rPr>
                <w:rFonts w:ascii="Times New Roman" w:hAnsi="Times New Roman"/>
                <w:szCs w:val="24"/>
              </w:rPr>
            </w:pPr>
          </w:p>
        </w:tc>
        <w:tc>
          <w:tcPr>
            <w:tcW w:w="2052" w:type="dxa"/>
            <w:vMerge w:val="continue"/>
            <w:vAlign w:val="center"/>
          </w:tcPr>
          <w:p>
            <w:pPr>
              <w:spacing w:line="300" w:lineRule="exact"/>
              <w:jc w:val="center"/>
              <w:rPr>
                <w:rFonts w:ascii="Times New Roman" w:hAnsi="Times New Roman"/>
                <w:szCs w:val="24"/>
              </w:rPr>
            </w:pPr>
          </w:p>
        </w:tc>
        <w:tc>
          <w:tcPr>
            <w:tcW w:w="1350" w:type="dxa"/>
            <w:vMerge w:val="continue"/>
            <w:vAlign w:val="center"/>
          </w:tcPr>
          <w:p>
            <w:pPr>
              <w:spacing w:line="300" w:lineRule="exact"/>
              <w:jc w:val="center"/>
              <w:rPr>
                <w:rFonts w:ascii="Times New Roman" w:hAnsi="Times New Roman"/>
                <w:szCs w:val="24"/>
              </w:rPr>
            </w:pPr>
          </w:p>
        </w:tc>
        <w:tc>
          <w:tcPr>
            <w:tcW w:w="2409" w:type="dxa"/>
            <w:vAlign w:val="center"/>
          </w:tcPr>
          <w:p>
            <w:pPr>
              <w:spacing w:line="300" w:lineRule="exact"/>
              <w:jc w:val="center"/>
              <w:rPr>
                <w:rFonts w:ascii="Times New Roman" w:hAnsi="Times New Roman"/>
                <w:szCs w:val="24"/>
              </w:rPr>
            </w:pPr>
          </w:p>
        </w:tc>
        <w:tc>
          <w:tcPr>
            <w:tcW w:w="1806" w:type="dxa"/>
          </w:tcPr>
          <w:p>
            <w:pPr>
              <w:spacing w:line="30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518" w:type="dxa"/>
            <w:vMerge w:val="continue"/>
            <w:vAlign w:val="center"/>
          </w:tcPr>
          <w:p>
            <w:pPr>
              <w:spacing w:line="300" w:lineRule="exact"/>
              <w:jc w:val="center"/>
              <w:rPr>
                <w:rFonts w:ascii="Times New Roman" w:hAnsi="Times New Roman"/>
                <w:szCs w:val="24"/>
              </w:rPr>
            </w:pPr>
          </w:p>
        </w:tc>
        <w:tc>
          <w:tcPr>
            <w:tcW w:w="2052" w:type="dxa"/>
            <w:vMerge w:val="continue"/>
            <w:vAlign w:val="center"/>
          </w:tcPr>
          <w:p>
            <w:pPr>
              <w:spacing w:line="300" w:lineRule="exact"/>
              <w:jc w:val="center"/>
              <w:rPr>
                <w:rFonts w:ascii="Times New Roman" w:hAnsi="Times New Roman"/>
                <w:szCs w:val="24"/>
              </w:rPr>
            </w:pPr>
          </w:p>
        </w:tc>
        <w:tc>
          <w:tcPr>
            <w:tcW w:w="1350" w:type="dxa"/>
            <w:vMerge w:val="continue"/>
            <w:vAlign w:val="center"/>
          </w:tcPr>
          <w:p>
            <w:pPr>
              <w:spacing w:line="300" w:lineRule="exact"/>
              <w:jc w:val="center"/>
              <w:rPr>
                <w:rFonts w:ascii="Times New Roman" w:hAnsi="Times New Roman"/>
                <w:szCs w:val="24"/>
              </w:rPr>
            </w:pPr>
          </w:p>
        </w:tc>
        <w:tc>
          <w:tcPr>
            <w:tcW w:w="2409" w:type="dxa"/>
            <w:vAlign w:val="center"/>
          </w:tcPr>
          <w:p>
            <w:pPr>
              <w:spacing w:line="300" w:lineRule="exact"/>
              <w:jc w:val="center"/>
              <w:rPr>
                <w:rFonts w:ascii="Times New Roman" w:hAnsi="Times New Roman"/>
                <w:szCs w:val="24"/>
              </w:rPr>
            </w:pPr>
          </w:p>
        </w:tc>
        <w:tc>
          <w:tcPr>
            <w:tcW w:w="1806" w:type="dxa"/>
          </w:tcPr>
          <w:p>
            <w:pPr>
              <w:spacing w:line="30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 w:hRule="atLeast"/>
        </w:trPr>
        <w:tc>
          <w:tcPr>
            <w:tcW w:w="1518" w:type="dxa"/>
            <w:vMerge w:val="continue"/>
            <w:vAlign w:val="center"/>
          </w:tcPr>
          <w:p>
            <w:pPr>
              <w:spacing w:line="300" w:lineRule="exact"/>
              <w:jc w:val="center"/>
              <w:rPr>
                <w:rFonts w:ascii="Times New Roman" w:hAnsi="Times New Roman"/>
                <w:szCs w:val="24"/>
              </w:rPr>
            </w:pPr>
          </w:p>
        </w:tc>
        <w:tc>
          <w:tcPr>
            <w:tcW w:w="2052" w:type="dxa"/>
            <w:vMerge w:val="continue"/>
            <w:vAlign w:val="center"/>
          </w:tcPr>
          <w:p>
            <w:pPr>
              <w:spacing w:line="300" w:lineRule="exact"/>
              <w:jc w:val="center"/>
              <w:rPr>
                <w:rFonts w:ascii="Times New Roman" w:hAnsi="Times New Roman"/>
                <w:szCs w:val="24"/>
              </w:rPr>
            </w:pPr>
          </w:p>
        </w:tc>
        <w:tc>
          <w:tcPr>
            <w:tcW w:w="1350" w:type="dxa"/>
            <w:vMerge w:val="continue"/>
            <w:vAlign w:val="center"/>
          </w:tcPr>
          <w:p>
            <w:pPr>
              <w:spacing w:line="300" w:lineRule="exact"/>
              <w:jc w:val="center"/>
              <w:rPr>
                <w:rFonts w:ascii="Times New Roman" w:hAnsi="Times New Roman"/>
                <w:szCs w:val="24"/>
              </w:rPr>
            </w:pPr>
          </w:p>
        </w:tc>
        <w:tc>
          <w:tcPr>
            <w:tcW w:w="2409" w:type="dxa"/>
            <w:vAlign w:val="center"/>
          </w:tcPr>
          <w:p>
            <w:pPr>
              <w:spacing w:line="300" w:lineRule="exact"/>
              <w:jc w:val="center"/>
              <w:rPr>
                <w:rFonts w:ascii="Times New Roman" w:hAnsi="Times New Roman"/>
                <w:szCs w:val="24"/>
              </w:rPr>
            </w:pPr>
          </w:p>
        </w:tc>
        <w:tc>
          <w:tcPr>
            <w:tcW w:w="1806" w:type="dxa"/>
          </w:tcPr>
          <w:p>
            <w:pPr>
              <w:spacing w:line="30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 w:hRule="atLeast"/>
        </w:trPr>
        <w:tc>
          <w:tcPr>
            <w:tcW w:w="1518" w:type="dxa"/>
            <w:vMerge w:val="restart"/>
            <w:vAlign w:val="center"/>
          </w:tcPr>
          <w:p>
            <w:pPr>
              <w:spacing w:line="300" w:lineRule="exact"/>
              <w:jc w:val="center"/>
              <w:rPr>
                <w:rFonts w:ascii="Times New Roman" w:hAnsi="Times New Roman"/>
                <w:szCs w:val="24"/>
              </w:rPr>
            </w:pPr>
          </w:p>
        </w:tc>
        <w:tc>
          <w:tcPr>
            <w:tcW w:w="2052" w:type="dxa"/>
            <w:vMerge w:val="restart"/>
            <w:vAlign w:val="center"/>
          </w:tcPr>
          <w:p>
            <w:pPr>
              <w:spacing w:line="300" w:lineRule="exact"/>
              <w:jc w:val="center"/>
              <w:rPr>
                <w:rFonts w:ascii="Times New Roman" w:hAnsi="Times New Roman"/>
                <w:szCs w:val="24"/>
              </w:rPr>
            </w:pPr>
          </w:p>
        </w:tc>
        <w:tc>
          <w:tcPr>
            <w:tcW w:w="1350" w:type="dxa"/>
            <w:vMerge w:val="restart"/>
            <w:vAlign w:val="center"/>
          </w:tcPr>
          <w:p>
            <w:pPr>
              <w:spacing w:line="300" w:lineRule="exact"/>
              <w:jc w:val="center"/>
              <w:rPr>
                <w:rFonts w:ascii="Times New Roman" w:hAnsi="Times New Roman"/>
                <w:szCs w:val="24"/>
              </w:rPr>
            </w:pPr>
          </w:p>
        </w:tc>
        <w:tc>
          <w:tcPr>
            <w:tcW w:w="2409" w:type="dxa"/>
            <w:vAlign w:val="center"/>
          </w:tcPr>
          <w:p>
            <w:pPr>
              <w:spacing w:line="300" w:lineRule="exact"/>
              <w:jc w:val="center"/>
              <w:rPr>
                <w:rFonts w:ascii="Times New Roman" w:hAnsi="Times New Roman"/>
                <w:szCs w:val="24"/>
              </w:rPr>
            </w:pPr>
          </w:p>
        </w:tc>
        <w:tc>
          <w:tcPr>
            <w:tcW w:w="1806" w:type="dxa"/>
          </w:tcPr>
          <w:p>
            <w:pPr>
              <w:spacing w:line="30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 w:hRule="atLeast"/>
        </w:trPr>
        <w:tc>
          <w:tcPr>
            <w:tcW w:w="1518" w:type="dxa"/>
            <w:vMerge w:val="continue"/>
            <w:vAlign w:val="center"/>
          </w:tcPr>
          <w:p>
            <w:pPr>
              <w:spacing w:line="300" w:lineRule="exact"/>
              <w:jc w:val="center"/>
              <w:rPr>
                <w:rFonts w:ascii="Times New Roman" w:hAnsi="Times New Roman"/>
                <w:szCs w:val="24"/>
              </w:rPr>
            </w:pPr>
          </w:p>
        </w:tc>
        <w:tc>
          <w:tcPr>
            <w:tcW w:w="2052" w:type="dxa"/>
            <w:vMerge w:val="continue"/>
            <w:vAlign w:val="center"/>
          </w:tcPr>
          <w:p>
            <w:pPr>
              <w:spacing w:line="300" w:lineRule="exact"/>
              <w:jc w:val="center"/>
              <w:rPr>
                <w:rFonts w:ascii="Times New Roman" w:hAnsi="Times New Roman"/>
                <w:szCs w:val="24"/>
              </w:rPr>
            </w:pPr>
          </w:p>
        </w:tc>
        <w:tc>
          <w:tcPr>
            <w:tcW w:w="1350" w:type="dxa"/>
            <w:vMerge w:val="continue"/>
            <w:vAlign w:val="center"/>
          </w:tcPr>
          <w:p>
            <w:pPr>
              <w:spacing w:line="300" w:lineRule="exact"/>
              <w:jc w:val="center"/>
              <w:rPr>
                <w:rFonts w:ascii="Times New Roman" w:hAnsi="Times New Roman"/>
                <w:szCs w:val="24"/>
              </w:rPr>
            </w:pPr>
          </w:p>
        </w:tc>
        <w:tc>
          <w:tcPr>
            <w:tcW w:w="2409" w:type="dxa"/>
            <w:vAlign w:val="center"/>
          </w:tcPr>
          <w:p>
            <w:pPr>
              <w:spacing w:line="300" w:lineRule="exact"/>
              <w:jc w:val="center"/>
              <w:rPr>
                <w:rFonts w:ascii="Times New Roman" w:hAnsi="Times New Roman"/>
                <w:szCs w:val="24"/>
              </w:rPr>
            </w:pPr>
          </w:p>
        </w:tc>
        <w:tc>
          <w:tcPr>
            <w:tcW w:w="1806" w:type="dxa"/>
          </w:tcPr>
          <w:p>
            <w:pPr>
              <w:spacing w:line="30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518" w:type="dxa"/>
            <w:vMerge w:val="continue"/>
            <w:vAlign w:val="center"/>
          </w:tcPr>
          <w:p>
            <w:pPr>
              <w:spacing w:line="300" w:lineRule="exact"/>
              <w:jc w:val="center"/>
              <w:rPr>
                <w:rFonts w:ascii="Times New Roman" w:hAnsi="Times New Roman"/>
                <w:szCs w:val="24"/>
              </w:rPr>
            </w:pPr>
          </w:p>
        </w:tc>
        <w:tc>
          <w:tcPr>
            <w:tcW w:w="2052" w:type="dxa"/>
            <w:vMerge w:val="continue"/>
            <w:vAlign w:val="center"/>
          </w:tcPr>
          <w:p>
            <w:pPr>
              <w:spacing w:line="300" w:lineRule="exact"/>
              <w:jc w:val="center"/>
              <w:rPr>
                <w:rFonts w:ascii="Times New Roman" w:hAnsi="Times New Roman"/>
                <w:szCs w:val="24"/>
              </w:rPr>
            </w:pPr>
          </w:p>
        </w:tc>
        <w:tc>
          <w:tcPr>
            <w:tcW w:w="1350" w:type="dxa"/>
            <w:vMerge w:val="continue"/>
            <w:vAlign w:val="center"/>
          </w:tcPr>
          <w:p>
            <w:pPr>
              <w:spacing w:line="300" w:lineRule="exact"/>
              <w:jc w:val="center"/>
              <w:rPr>
                <w:rFonts w:ascii="Times New Roman" w:hAnsi="Times New Roman"/>
                <w:szCs w:val="24"/>
              </w:rPr>
            </w:pPr>
          </w:p>
        </w:tc>
        <w:tc>
          <w:tcPr>
            <w:tcW w:w="2409" w:type="dxa"/>
            <w:vAlign w:val="center"/>
          </w:tcPr>
          <w:p>
            <w:pPr>
              <w:spacing w:line="300" w:lineRule="exact"/>
              <w:jc w:val="center"/>
              <w:rPr>
                <w:rFonts w:ascii="Times New Roman" w:hAnsi="Times New Roman"/>
                <w:szCs w:val="24"/>
              </w:rPr>
            </w:pPr>
          </w:p>
        </w:tc>
        <w:tc>
          <w:tcPr>
            <w:tcW w:w="1806" w:type="dxa"/>
          </w:tcPr>
          <w:p>
            <w:pPr>
              <w:spacing w:line="30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518" w:type="dxa"/>
            <w:vMerge w:val="continue"/>
            <w:vAlign w:val="center"/>
          </w:tcPr>
          <w:p>
            <w:pPr>
              <w:spacing w:line="300" w:lineRule="exact"/>
              <w:jc w:val="center"/>
              <w:rPr>
                <w:rFonts w:ascii="Times New Roman" w:hAnsi="Times New Roman"/>
                <w:szCs w:val="24"/>
              </w:rPr>
            </w:pPr>
          </w:p>
        </w:tc>
        <w:tc>
          <w:tcPr>
            <w:tcW w:w="2052" w:type="dxa"/>
            <w:vMerge w:val="continue"/>
            <w:vAlign w:val="center"/>
          </w:tcPr>
          <w:p>
            <w:pPr>
              <w:spacing w:line="300" w:lineRule="exact"/>
              <w:jc w:val="center"/>
              <w:rPr>
                <w:rFonts w:ascii="Times New Roman" w:hAnsi="Times New Roman"/>
                <w:szCs w:val="24"/>
              </w:rPr>
            </w:pPr>
          </w:p>
        </w:tc>
        <w:tc>
          <w:tcPr>
            <w:tcW w:w="1350" w:type="dxa"/>
            <w:vMerge w:val="continue"/>
            <w:vAlign w:val="center"/>
          </w:tcPr>
          <w:p>
            <w:pPr>
              <w:spacing w:line="300" w:lineRule="exact"/>
              <w:jc w:val="center"/>
              <w:rPr>
                <w:rFonts w:ascii="Times New Roman" w:hAnsi="Times New Roman"/>
                <w:szCs w:val="24"/>
              </w:rPr>
            </w:pPr>
          </w:p>
        </w:tc>
        <w:tc>
          <w:tcPr>
            <w:tcW w:w="2409" w:type="dxa"/>
            <w:vAlign w:val="center"/>
          </w:tcPr>
          <w:p>
            <w:pPr>
              <w:spacing w:line="300" w:lineRule="exact"/>
              <w:jc w:val="center"/>
              <w:rPr>
                <w:rFonts w:ascii="Times New Roman" w:hAnsi="Times New Roman"/>
                <w:szCs w:val="24"/>
              </w:rPr>
            </w:pPr>
          </w:p>
        </w:tc>
        <w:tc>
          <w:tcPr>
            <w:tcW w:w="1806" w:type="dxa"/>
          </w:tcPr>
          <w:p>
            <w:pPr>
              <w:spacing w:line="30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 w:hRule="atLeast"/>
        </w:trPr>
        <w:tc>
          <w:tcPr>
            <w:tcW w:w="1518" w:type="dxa"/>
            <w:vMerge w:val="continue"/>
            <w:vAlign w:val="center"/>
          </w:tcPr>
          <w:p>
            <w:pPr>
              <w:spacing w:line="300" w:lineRule="exact"/>
              <w:jc w:val="center"/>
              <w:rPr>
                <w:rFonts w:ascii="Times New Roman" w:hAnsi="Times New Roman"/>
                <w:szCs w:val="24"/>
              </w:rPr>
            </w:pPr>
          </w:p>
        </w:tc>
        <w:tc>
          <w:tcPr>
            <w:tcW w:w="2052" w:type="dxa"/>
            <w:vMerge w:val="continue"/>
            <w:vAlign w:val="center"/>
          </w:tcPr>
          <w:p>
            <w:pPr>
              <w:spacing w:line="300" w:lineRule="exact"/>
              <w:jc w:val="center"/>
              <w:rPr>
                <w:rFonts w:ascii="Times New Roman" w:hAnsi="Times New Roman"/>
                <w:szCs w:val="24"/>
              </w:rPr>
            </w:pPr>
          </w:p>
        </w:tc>
        <w:tc>
          <w:tcPr>
            <w:tcW w:w="1350" w:type="dxa"/>
            <w:vMerge w:val="continue"/>
            <w:vAlign w:val="center"/>
          </w:tcPr>
          <w:p>
            <w:pPr>
              <w:spacing w:line="300" w:lineRule="exact"/>
              <w:jc w:val="center"/>
              <w:rPr>
                <w:rFonts w:ascii="Times New Roman" w:hAnsi="Times New Roman"/>
                <w:szCs w:val="24"/>
              </w:rPr>
            </w:pPr>
          </w:p>
        </w:tc>
        <w:tc>
          <w:tcPr>
            <w:tcW w:w="2409" w:type="dxa"/>
            <w:vAlign w:val="center"/>
          </w:tcPr>
          <w:p>
            <w:pPr>
              <w:spacing w:line="300" w:lineRule="exact"/>
              <w:jc w:val="center"/>
              <w:rPr>
                <w:rFonts w:ascii="Times New Roman" w:hAnsi="Times New Roman"/>
                <w:szCs w:val="24"/>
              </w:rPr>
            </w:pPr>
          </w:p>
        </w:tc>
        <w:tc>
          <w:tcPr>
            <w:tcW w:w="1806" w:type="dxa"/>
          </w:tcPr>
          <w:p>
            <w:pPr>
              <w:spacing w:line="30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 w:hRule="atLeast"/>
        </w:trPr>
        <w:tc>
          <w:tcPr>
            <w:tcW w:w="1518" w:type="dxa"/>
            <w:vMerge w:val="restart"/>
            <w:vAlign w:val="center"/>
          </w:tcPr>
          <w:p>
            <w:pPr>
              <w:spacing w:line="300" w:lineRule="exact"/>
              <w:jc w:val="center"/>
              <w:rPr>
                <w:rFonts w:ascii="Times New Roman" w:hAnsi="Times New Roman"/>
                <w:szCs w:val="24"/>
              </w:rPr>
            </w:pPr>
          </w:p>
        </w:tc>
        <w:tc>
          <w:tcPr>
            <w:tcW w:w="2052" w:type="dxa"/>
            <w:vMerge w:val="restart"/>
            <w:vAlign w:val="center"/>
          </w:tcPr>
          <w:p>
            <w:pPr>
              <w:spacing w:line="300" w:lineRule="exact"/>
              <w:jc w:val="center"/>
              <w:rPr>
                <w:rFonts w:ascii="Times New Roman" w:hAnsi="Times New Roman"/>
                <w:szCs w:val="24"/>
              </w:rPr>
            </w:pPr>
          </w:p>
        </w:tc>
        <w:tc>
          <w:tcPr>
            <w:tcW w:w="1350" w:type="dxa"/>
            <w:vMerge w:val="restart"/>
            <w:vAlign w:val="center"/>
          </w:tcPr>
          <w:p>
            <w:pPr>
              <w:spacing w:line="300" w:lineRule="exact"/>
              <w:jc w:val="center"/>
              <w:rPr>
                <w:rFonts w:ascii="Times New Roman" w:hAnsi="Times New Roman"/>
                <w:szCs w:val="24"/>
              </w:rPr>
            </w:pPr>
          </w:p>
        </w:tc>
        <w:tc>
          <w:tcPr>
            <w:tcW w:w="2409" w:type="dxa"/>
            <w:vAlign w:val="center"/>
          </w:tcPr>
          <w:p>
            <w:pPr>
              <w:spacing w:line="300" w:lineRule="exact"/>
              <w:jc w:val="center"/>
              <w:rPr>
                <w:rFonts w:ascii="Times New Roman" w:hAnsi="Times New Roman"/>
                <w:szCs w:val="24"/>
              </w:rPr>
            </w:pPr>
          </w:p>
        </w:tc>
        <w:tc>
          <w:tcPr>
            <w:tcW w:w="1806" w:type="dxa"/>
          </w:tcPr>
          <w:p>
            <w:pPr>
              <w:spacing w:line="30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 w:hRule="atLeast"/>
        </w:trPr>
        <w:tc>
          <w:tcPr>
            <w:tcW w:w="1518" w:type="dxa"/>
            <w:vMerge w:val="continue"/>
            <w:vAlign w:val="center"/>
          </w:tcPr>
          <w:p>
            <w:pPr>
              <w:spacing w:line="300" w:lineRule="exact"/>
              <w:jc w:val="center"/>
              <w:rPr>
                <w:rFonts w:ascii="Times New Roman" w:hAnsi="Times New Roman"/>
                <w:szCs w:val="24"/>
              </w:rPr>
            </w:pPr>
          </w:p>
        </w:tc>
        <w:tc>
          <w:tcPr>
            <w:tcW w:w="2052" w:type="dxa"/>
            <w:vMerge w:val="continue"/>
            <w:vAlign w:val="center"/>
          </w:tcPr>
          <w:p>
            <w:pPr>
              <w:spacing w:line="300" w:lineRule="exact"/>
              <w:jc w:val="center"/>
              <w:rPr>
                <w:rFonts w:ascii="Times New Roman" w:hAnsi="Times New Roman"/>
                <w:szCs w:val="24"/>
              </w:rPr>
            </w:pPr>
          </w:p>
        </w:tc>
        <w:tc>
          <w:tcPr>
            <w:tcW w:w="1350" w:type="dxa"/>
            <w:vMerge w:val="continue"/>
            <w:vAlign w:val="center"/>
          </w:tcPr>
          <w:p>
            <w:pPr>
              <w:spacing w:line="300" w:lineRule="exact"/>
              <w:jc w:val="center"/>
              <w:rPr>
                <w:rFonts w:ascii="Times New Roman" w:hAnsi="Times New Roman"/>
                <w:szCs w:val="24"/>
              </w:rPr>
            </w:pPr>
          </w:p>
        </w:tc>
        <w:tc>
          <w:tcPr>
            <w:tcW w:w="2409" w:type="dxa"/>
            <w:vAlign w:val="center"/>
          </w:tcPr>
          <w:p>
            <w:pPr>
              <w:spacing w:line="300" w:lineRule="exact"/>
              <w:jc w:val="center"/>
              <w:rPr>
                <w:rFonts w:ascii="Times New Roman" w:hAnsi="Times New Roman"/>
                <w:szCs w:val="24"/>
              </w:rPr>
            </w:pPr>
          </w:p>
        </w:tc>
        <w:tc>
          <w:tcPr>
            <w:tcW w:w="1806" w:type="dxa"/>
          </w:tcPr>
          <w:p>
            <w:pPr>
              <w:spacing w:line="30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518" w:type="dxa"/>
            <w:vMerge w:val="continue"/>
            <w:vAlign w:val="center"/>
          </w:tcPr>
          <w:p>
            <w:pPr>
              <w:spacing w:line="300" w:lineRule="exact"/>
              <w:jc w:val="center"/>
              <w:rPr>
                <w:rFonts w:ascii="Times New Roman" w:hAnsi="Times New Roman"/>
                <w:szCs w:val="24"/>
              </w:rPr>
            </w:pPr>
          </w:p>
        </w:tc>
        <w:tc>
          <w:tcPr>
            <w:tcW w:w="2052" w:type="dxa"/>
            <w:vMerge w:val="continue"/>
            <w:vAlign w:val="center"/>
          </w:tcPr>
          <w:p>
            <w:pPr>
              <w:spacing w:line="300" w:lineRule="exact"/>
              <w:jc w:val="center"/>
              <w:rPr>
                <w:rFonts w:ascii="Times New Roman" w:hAnsi="Times New Roman"/>
                <w:szCs w:val="24"/>
              </w:rPr>
            </w:pPr>
          </w:p>
        </w:tc>
        <w:tc>
          <w:tcPr>
            <w:tcW w:w="1350" w:type="dxa"/>
            <w:vMerge w:val="continue"/>
            <w:vAlign w:val="center"/>
          </w:tcPr>
          <w:p>
            <w:pPr>
              <w:spacing w:line="300" w:lineRule="exact"/>
              <w:jc w:val="center"/>
              <w:rPr>
                <w:rFonts w:ascii="Times New Roman" w:hAnsi="Times New Roman"/>
                <w:szCs w:val="24"/>
              </w:rPr>
            </w:pPr>
          </w:p>
        </w:tc>
        <w:tc>
          <w:tcPr>
            <w:tcW w:w="2409" w:type="dxa"/>
            <w:vAlign w:val="center"/>
          </w:tcPr>
          <w:p>
            <w:pPr>
              <w:spacing w:line="300" w:lineRule="exact"/>
              <w:jc w:val="center"/>
              <w:rPr>
                <w:rFonts w:ascii="Times New Roman" w:hAnsi="Times New Roman"/>
                <w:szCs w:val="24"/>
              </w:rPr>
            </w:pPr>
          </w:p>
        </w:tc>
        <w:tc>
          <w:tcPr>
            <w:tcW w:w="1806" w:type="dxa"/>
          </w:tcPr>
          <w:p>
            <w:pPr>
              <w:spacing w:line="30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518" w:type="dxa"/>
            <w:vMerge w:val="continue"/>
            <w:vAlign w:val="center"/>
          </w:tcPr>
          <w:p>
            <w:pPr>
              <w:spacing w:line="300" w:lineRule="exact"/>
              <w:jc w:val="center"/>
              <w:rPr>
                <w:rFonts w:ascii="Times New Roman" w:hAnsi="Times New Roman"/>
                <w:szCs w:val="24"/>
              </w:rPr>
            </w:pPr>
          </w:p>
        </w:tc>
        <w:tc>
          <w:tcPr>
            <w:tcW w:w="2052" w:type="dxa"/>
            <w:vMerge w:val="continue"/>
            <w:vAlign w:val="center"/>
          </w:tcPr>
          <w:p>
            <w:pPr>
              <w:spacing w:line="300" w:lineRule="exact"/>
              <w:jc w:val="center"/>
              <w:rPr>
                <w:rFonts w:ascii="Times New Roman" w:hAnsi="Times New Roman"/>
                <w:szCs w:val="24"/>
              </w:rPr>
            </w:pPr>
          </w:p>
        </w:tc>
        <w:tc>
          <w:tcPr>
            <w:tcW w:w="1350" w:type="dxa"/>
            <w:vMerge w:val="continue"/>
            <w:vAlign w:val="center"/>
          </w:tcPr>
          <w:p>
            <w:pPr>
              <w:spacing w:line="300" w:lineRule="exact"/>
              <w:jc w:val="center"/>
              <w:rPr>
                <w:rFonts w:ascii="Times New Roman" w:hAnsi="Times New Roman"/>
                <w:szCs w:val="24"/>
              </w:rPr>
            </w:pPr>
          </w:p>
        </w:tc>
        <w:tc>
          <w:tcPr>
            <w:tcW w:w="2409" w:type="dxa"/>
            <w:vAlign w:val="center"/>
          </w:tcPr>
          <w:p>
            <w:pPr>
              <w:spacing w:line="300" w:lineRule="exact"/>
              <w:jc w:val="center"/>
              <w:rPr>
                <w:rFonts w:ascii="Times New Roman" w:hAnsi="Times New Roman"/>
                <w:szCs w:val="24"/>
              </w:rPr>
            </w:pPr>
          </w:p>
        </w:tc>
        <w:tc>
          <w:tcPr>
            <w:tcW w:w="1806" w:type="dxa"/>
          </w:tcPr>
          <w:p>
            <w:pPr>
              <w:spacing w:line="30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 w:hRule="atLeast"/>
        </w:trPr>
        <w:tc>
          <w:tcPr>
            <w:tcW w:w="1518" w:type="dxa"/>
            <w:vMerge w:val="continue"/>
            <w:vAlign w:val="center"/>
          </w:tcPr>
          <w:p>
            <w:pPr>
              <w:spacing w:line="300" w:lineRule="exact"/>
              <w:jc w:val="center"/>
              <w:rPr>
                <w:rFonts w:ascii="Times New Roman" w:hAnsi="Times New Roman"/>
                <w:szCs w:val="24"/>
              </w:rPr>
            </w:pPr>
          </w:p>
        </w:tc>
        <w:tc>
          <w:tcPr>
            <w:tcW w:w="2052" w:type="dxa"/>
            <w:vMerge w:val="continue"/>
            <w:vAlign w:val="center"/>
          </w:tcPr>
          <w:p>
            <w:pPr>
              <w:spacing w:line="300" w:lineRule="exact"/>
              <w:jc w:val="center"/>
              <w:rPr>
                <w:rFonts w:ascii="Times New Roman" w:hAnsi="Times New Roman"/>
                <w:szCs w:val="24"/>
              </w:rPr>
            </w:pPr>
          </w:p>
        </w:tc>
        <w:tc>
          <w:tcPr>
            <w:tcW w:w="1350" w:type="dxa"/>
            <w:vMerge w:val="continue"/>
            <w:vAlign w:val="center"/>
          </w:tcPr>
          <w:p>
            <w:pPr>
              <w:spacing w:line="300" w:lineRule="exact"/>
              <w:jc w:val="center"/>
              <w:rPr>
                <w:rFonts w:ascii="Times New Roman" w:hAnsi="Times New Roman"/>
                <w:szCs w:val="24"/>
              </w:rPr>
            </w:pPr>
          </w:p>
        </w:tc>
        <w:tc>
          <w:tcPr>
            <w:tcW w:w="2409" w:type="dxa"/>
            <w:vAlign w:val="center"/>
          </w:tcPr>
          <w:p>
            <w:pPr>
              <w:spacing w:line="300" w:lineRule="exact"/>
              <w:jc w:val="center"/>
              <w:rPr>
                <w:rFonts w:ascii="Times New Roman" w:hAnsi="Times New Roman"/>
                <w:szCs w:val="24"/>
              </w:rPr>
            </w:pPr>
          </w:p>
        </w:tc>
        <w:tc>
          <w:tcPr>
            <w:tcW w:w="1806" w:type="dxa"/>
          </w:tcPr>
          <w:p>
            <w:pPr>
              <w:spacing w:line="30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 w:hRule="atLeast"/>
        </w:trPr>
        <w:tc>
          <w:tcPr>
            <w:tcW w:w="1518" w:type="dxa"/>
            <w:vMerge w:val="restart"/>
            <w:vAlign w:val="center"/>
          </w:tcPr>
          <w:p>
            <w:pPr>
              <w:spacing w:line="300" w:lineRule="exact"/>
              <w:jc w:val="center"/>
              <w:rPr>
                <w:rFonts w:ascii="Times New Roman" w:hAnsi="Times New Roman"/>
                <w:szCs w:val="24"/>
              </w:rPr>
            </w:pPr>
          </w:p>
        </w:tc>
        <w:tc>
          <w:tcPr>
            <w:tcW w:w="2052" w:type="dxa"/>
            <w:vMerge w:val="restart"/>
            <w:vAlign w:val="center"/>
          </w:tcPr>
          <w:p>
            <w:pPr>
              <w:spacing w:line="300" w:lineRule="exact"/>
              <w:jc w:val="center"/>
              <w:rPr>
                <w:rFonts w:ascii="Times New Roman" w:hAnsi="Times New Roman"/>
                <w:szCs w:val="24"/>
              </w:rPr>
            </w:pPr>
          </w:p>
        </w:tc>
        <w:tc>
          <w:tcPr>
            <w:tcW w:w="1350" w:type="dxa"/>
            <w:vMerge w:val="restart"/>
            <w:vAlign w:val="center"/>
          </w:tcPr>
          <w:p>
            <w:pPr>
              <w:spacing w:line="300" w:lineRule="exact"/>
              <w:jc w:val="center"/>
              <w:rPr>
                <w:rFonts w:ascii="Times New Roman" w:hAnsi="Times New Roman"/>
                <w:szCs w:val="24"/>
              </w:rPr>
            </w:pPr>
          </w:p>
        </w:tc>
        <w:tc>
          <w:tcPr>
            <w:tcW w:w="2409" w:type="dxa"/>
            <w:vAlign w:val="center"/>
          </w:tcPr>
          <w:p>
            <w:pPr>
              <w:spacing w:line="300" w:lineRule="exact"/>
              <w:jc w:val="center"/>
              <w:rPr>
                <w:rFonts w:ascii="Times New Roman" w:hAnsi="Times New Roman"/>
                <w:szCs w:val="24"/>
              </w:rPr>
            </w:pPr>
          </w:p>
        </w:tc>
        <w:tc>
          <w:tcPr>
            <w:tcW w:w="1806" w:type="dxa"/>
          </w:tcPr>
          <w:p>
            <w:pPr>
              <w:spacing w:line="30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 w:hRule="atLeast"/>
        </w:trPr>
        <w:tc>
          <w:tcPr>
            <w:tcW w:w="1518" w:type="dxa"/>
            <w:vMerge w:val="continue"/>
            <w:vAlign w:val="center"/>
          </w:tcPr>
          <w:p>
            <w:pPr>
              <w:spacing w:line="300" w:lineRule="exact"/>
              <w:rPr>
                <w:rFonts w:ascii="Times New Roman" w:hAnsi="Times New Roman"/>
                <w:szCs w:val="24"/>
              </w:rPr>
            </w:pPr>
          </w:p>
        </w:tc>
        <w:tc>
          <w:tcPr>
            <w:tcW w:w="2052" w:type="dxa"/>
            <w:vMerge w:val="continue"/>
            <w:vAlign w:val="center"/>
          </w:tcPr>
          <w:p>
            <w:pPr>
              <w:spacing w:line="300" w:lineRule="exact"/>
              <w:jc w:val="center"/>
              <w:rPr>
                <w:rFonts w:ascii="Times New Roman" w:hAnsi="Times New Roman"/>
                <w:szCs w:val="24"/>
              </w:rPr>
            </w:pPr>
          </w:p>
        </w:tc>
        <w:tc>
          <w:tcPr>
            <w:tcW w:w="1350" w:type="dxa"/>
            <w:vMerge w:val="continue"/>
            <w:vAlign w:val="center"/>
          </w:tcPr>
          <w:p>
            <w:pPr>
              <w:spacing w:line="300" w:lineRule="exact"/>
              <w:jc w:val="center"/>
              <w:rPr>
                <w:rFonts w:ascii="Times New Roman" w:hAnsi="Times New Roman"/>
                <w:szCs w:val="24"/>
              </w:rPr>
            </w:pPr>
          </w:p>
        </w:tc>
        <w:tc>
          <w:tcPr>
            <w:tcW w:w="2409" w:type="dxa"/>
            <w:vAlign w:val="center"/>
          </w:tcPr>
          <w:p>
            <w:pPr>
              <w:spacing w:line="300" w:lineRule="exact"/>
              <w:jc w:val="center"/>
              <w:rPr>
                <w:rFonts w:ascii="Times New Roman" w:hAnsi="Times New Roman"/>
                <w:szCs w:val="24"/>
              </w:rPr>
            </w:pPr>
          </w:p>
        </w:tc>
        <w:tc>
          <w:tcPr>
            <w:tcW w:w="1806" w:type="dxa"/>
          </w:tcPr>
          <w:p>
            <w:pPr>
              <w:spacing w:line="30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 w:hRule="atLeast"/>
        </w:trPr>
        <w:tc>
          <w:tcPr>
            <w:tcW w:w="1518" w:type="dxa"/>
            <w:vMerge w:val="continue"/>
            <w:vAlign w:val="center"/>
          </w:tcPr>
          <w:p>
            <w:pPr>
              <w:spacing w:line="300" w:lineRule="exact"/>
              <w:jc w:val="center"/>
              <w:rPr>
                <w:rFonts w:ascii="Times New Roman" w:hAnsi="Times New Roman"/>
                <w:szCs w:val="24"/>
              </w:rPr>
            </w:pPr>
          </w:p>
        </w:tc>
        <w:tc>
          <w:tcPr>
            <w:tcW w:w="2052" w:type="dxa"/>
            <w:vMerge w:val="continue"/>
            <w:vAlign w:val="center"/>
          </w:tcPr>
          <w:p>
            <w:pPr>
              <w:spacing w:line="300" w:lineRule="exact"/>
              <w:jc w:val="center"/>
              <w:rPr>
                <w:rFonts w:ascii="Times New Roman" w:hAnsi="Times New Roman"/>
                <w:szCs w:val="24"/>
              </w:rPr>
            </w:pPr>
          </w:p>
        </w:tc>
        <w:tc>
          <w:tcPr>
            <w:tcW w:w="1350" w:type="dxa"/>
            <w:vMerge w:val="continue"/>
            <w:vAlign w:val="center"/>
          </w:tcPr>
          <w:p>
            <w:pPr>
              <w:spacing w:line="300" w:lineRule="exact"/>
              <w:jc w:val="center"/>
              <w:rPr>
                <w:rFonts w:ascii="Times New Roman" w:hAnsi="Times New Roman"/>
                <w:szCs w:val="24"/>
              </w:rPr>
            </w:pPr>
          </w:p>
        </w:tc>
        <w:tc>
          <w:tcPr>
            <w:tcW w:w="2409" w:type="dxa"/>
            <w:vAlign w:val="center"/>
          </w:tcPr>
          <w:p>
            <w:pPr>
              <w:spacing w:line="300" w:lineRule="exact"/>
              <w:jc w:val="center"/>
              <w:rPr>
                <w:rFonts w:ascii="Times New Roman" w:hAnsi="Times New Roman"/>
                <w:szCs w:val="24"/>
              </w:rPr>
            </w:pPr>
          </w:p>
        </w:tc>
        <w:tc>
          <w:tcPr>
            <w:tcW w:w="1806" w:type="dxa"/>
          </w:tcPr>
          <w:p>
            <w:pPr>
              <w:spacing w:line="30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 w:hRule="atLeast"/>
        </w:trPr>
        <w:tc>
          <w:tcPr>
            <w:tcW w:w="1518" w:type="dxa"/>
            <w:vMerge w:val="continue"/>
            <w:vAlign w:val="center"/>
          </w:tcPr>
          <w:p>
            <w:pPr>
              <w:spacing w:line="300" w:lineRule="exact"/>
              <w:jc w:val="center"/>
              <w:rPr>
                <w:rFonts w:ascii="Times New Roman" w:hAnsi="Times New Roman"/>
                <w:szCs w:val="24"/>
              </w:rPr>
            </w:pPr>
          </w:p>
        </w:tc>
        <w:tc>
          <w:tcPr>
            <w:tcW w:w="2052" w:type="dxa"/>
            <w:vMerge w:val="continue"/>
            <w:vAlign w:val="center"/>
          </w:tcPr>
          <w:p>
            <w:pPr>
              <w:spacing w:line="300" w:lineRule="exact"/>
              <w:jc w:val="center"/>
              <w:rPr>
                <w:rFonts w:ascii="Times New Roman" w:hAnsi="Times New Roman"/>
                <w:szCs w:val="24"/>
              </w:rPr>
            </w:pPr>
          </w:p>
        </w:tc>
        <w:tc>
          <w:tcPr>
            <w:tcW w:w="1350" w:type="dxa"/>
            <w:vMerge w:val="continue"/>
            <w:vAlign w:val="center"/>
          </w:tcPr>
          <w:p>
            <w:pPr>
              <w:spacing w:line="300" w:lineRule="exact"/>
              <w:jc w:val="center"/>
              <w:rPr>
                <w:rFonts w:ascii="Times New Roman" w:hAnsi="Times New Roman"/>
                <w:szCs w:val="24"/>
              </w:rPr>
            </w:pPr>
          </w:p>
        </w:tc>
        <w:tc>
          <w:tcPr>
            <w:tcW w:w="2409" w:type="dxa"/>
            <w:vAlign w:val="center"/>
          </w:tcPr>
          <w:p>
            <w:pPr>
              <w:spacing w:line="300" w:lineRule="exact"/>
              <w:jc w:val="center"/>
              <w:rPr>
                <w:rFonts w:ascii="Times New Roman" w:hAnsi="Times New Roman"/>
                <w:szCs w:val="24"/>
              </w:rPr>
            </w:pPr>
          </w:p>
        </w:tc>
        <w:tc>
          <w:tcPr>
            <w:tcW w:w="1806" w:type="dxa"/>
          </w:tcPr>
          <w:p>
            <w:pPr>
              <w:spacing w:line="30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 w:hRule="atLeast"/>
        </w:trPr>
        <w:tc>
          <w:tcPr>
            <w:tcW w:w="1518" w:type="dxa"/>
            <w:vMerge w:val="continue"/>
            <w:vAlign w:val="center"/>
          </w:tcPr>
          <w:p>
            <w:pPr>
              <w:spacing w:line="300" w:lineRule="exact"/>
              <w:jc w:val="center"/>
              <w:rPr>
                <w:rFonts w:ascii="Times New Roman" w:hAnsi="Times New Roman"/>
                <w:szCs w:val="24"/>
              </w:rPr>
            </w:pPr>
          </w:p>
        </w:tc>
        <w:tc>
          <w:tcPr>
            <w:tcW w:w="2052" w:type="dxa"/>
            <w:vMerge w:val="continue"/>
            <w:vAlign w:val="center"/>
          </w:tcPr>
          <w:p>
            <w:pPr>
              <w:spacing w:line="300" w:lineRule="exact"/>
              <w:jc w:val="center"/>
              <w:rPr>
                <w:rFonts w:ascii="Times New Roman" w:hAnsi="Times New Roman"/>
                <w:szCs w:val="24"/>
              </w:rPr>
            </w:pPr>
          </w:p>
        </w:tc>
        <w:tc>
          <w:tcPr>
            <w:tcW w:w="1350" w:type="dxa"/>
            <w:vMerge w:val="continue"/>
            <w:vAlign w:val="center"/>
          </w:tcPr>
          <w:p>
            <w:pPr>
              <w:spacing w:line="300" w:lineRule="exact"/>
              <w:jc w:val="center"/>
              <w:rPr>
                <w:rFonts w:ascii="Times New Roman" w:hAnsi="Times New Roman"/>
                <w:szCs w:val="24"/>
              </w:rPr>
            </w:pPr>
          </w:p>
        </w:tc>
        <w:tc>
          <w:tcPr>
            <w:tcW w:w="2409" w:type="dxa"/>
            <w:vAlign w:val="center"/>
          </w:tcPr>
          <w:p>
            <w:pPr>
              <w:spacing w:line="300" w:lineRule="exact"/>
              <w:jc w:val="center"/>
              <w:rPr>
                <w:rFonts w:ascii="Times New Roman" w:hAnsi="Times New Roman"/>
                <w:szCs w:val="24"/>
              </w:rPr>
            </w:pPr>
          </w:p>
        </w:tc>
        <w:tc>
          <w:tcPr>
            <w:tcW w:w="1806" w:type="dxa"/>
          </w:tcPr>
          <w:p>
            <w:pPr>
              <w:spacing w:line="30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68" w:hRule="atLeast"/>
        </w:trPr>
        <w:tc>
          <w:tcPr>
            <w:tcW w:w="9135" w:type="dxa"/>
            <w:gridSpan w:val="5"/>
          </w:tcPr>
          <w:p>
            <w:pPr>
              <w:spacing w:line="300" w:lineRule="exact"/>
              <w:rPr>
                <w:rFonts w:ascii="Times New Roman" w:eastAsia="黑体"/>
                <w:color w:val="000000" w:themeColor="text1"/>
                <w:sz w:val="24"/>
                <w:szCs w:val="24"/>
                <w14:textFill>
                  <w14:solidFill>
                    <w14:schemeClr w14:val="tx1"/>
                  </w14:solidFill>
                </w14:textFill>
              </w:rPr>
            </w:pPr>
            <w:r>
              <w:rPr>
                <w:rFonts w:ascii="Times New Roman" w:eastAsia="黑体"/>
                <w:color w:val="000000" w:themeColor="text1"/>
                <w:sz w:val="24"/>
                <w:szCs w:val="24"/>
                <w14:textFill>
                  <w14:solidFill>
                    <w14:schemeClr w14:val="tx1"/>
                  </w14:solidFill>
                </w14:textFill>
              </w:rPr>
              <w:t>表</w:t>
            </w:r>
            <w:r>
              <w:rPr>
                <w:rFonts w:ascii="Times New Roman" w:hAnsi="Times New Roman" w:eastAsia="黑体"/>
                <w:color w:val="000000" w:themeColor="text1"/>
                <w:sz w:val="24"/>
                <w:szCs w:val="24"/>
                <w14:textFill>
                  <w14:solidFill>
                    <w14:schemeClr w14:val="tx1"/>
                  </w14:solidFill>
                </w14:textFill>
              </w:rPr>
              <w:t xml:space="preserve">2 </w:t>
            </w:r>
            <w:r>
              <w:rPr>
                <w:rFonts w:ascii="Times New Roman" w:eastAsia="黑体"/>
                <w:color w:val="000000" w:themeColor="text1"/>
                <w:sz w:val="24"/>
                <w:szCs w:val="24"/>
                <w14:textFill>
                  <w14:solidFill>
                    <w14:schemeClr w14:val="tx1"/>
                  </w14:solidFill>
                </w14:textFill>
              </w:rPr>
              <w:t>与申请转移废物相关的生产工艺</w:t>
            </w:r>
          </w:p>
          <w:p>
            <w:pPr>
              <w:spacing w:line="300" w:lineRule="exact"/>
              <w:rPr>
                <w:rFonts w:ascii="Times New Roman"/>
                <w:color w:val="000000" w:themeColor="text1"/>
                <w:szCs w:val="24"/>
                <w14:textFill>
                  <w14:solidFill>
                    <w14:schemeClr w14:val="tx1"/>
                  </w14:solidFill>
                </w14:textFill>
              </w:rPr>
            </w:pPr>
          </w:p>
          <w:p>
            <w:pPr>
              <w:spacing w:line="300" w:lineRule="exact"/>
              <w:rPr>
                <w:rFonts w:ascii="Times New Roman" w:hAnsi="Times New Roman"/>
                <w:color w:val="000000" w:themeColor="text1"/>
                <w:szCs w:val="24"/>
                <w14:textFill>
                  <w14:solidFill>
                    <w14:schemeClr w14:val="tx1"/>
                  </w14:solidFill>
                </w14:textFill>
              </w:rPr>
            </w:pPr>
            <w:r>
              <w:rPr>
                <w:rFonts w:ascii="Times New Roman"/>
                <w:color w:val="000000" w:themeColor="text1"/>
                <w:szCs w:val="24"/>
                <w14:textFill>
                  <w14:solidFill>
                    <w14:schemeClr w14:val="tx1"/>
                  </w14:solidFill>
                </w14:textFill>
              </w:rPr>
              <w:t>文字描述及工艺流程图</w:t>
            </w:r>
          </w:p>
          <w:p>
            <w:pPr>
              <w:spacing w:line="300" w:lineRule="exact"/>
              <w:rPr>
                <w:rFonts w:ascii="Verdana" w:hAnsi="Verdana" w:cs="宋体"/>
                <w:color w:val="31353B"/>
                <w:kern w:val="0"/>
                <w:szCs w:val="21"/>
              </w:rPr>
            </w:pPr>
          </w:p>
          <w:p>
            <w:pPr>
              <w:spacing w:line="300" w:lineRule="exact"/>
            </w:pPr>
            <w:r>
              <w:rPr>
                <w:rFonts w:hint="eastAsia"/>
              </w:rPr>
              <w:t>废活性炭主要由涂装车间废气处理设施产生，废气处理过程中产生的废活性炭属于危险废物。</w:t>
            </w:r>
          </w:p>
          <w:p>
            <w:pPr>
              <w:spacing w:line="300" w:lineRule="exact"/>
            </w:pPr>
          </w:p>
          <w:p>
            <w:pPr>
              <w:spacing w:line="300" w:lineRule="exact"/>
            </w:pPr>
          </w:p>
          <w:p>
            <w:pPr>
              <w:spacing w:line="300" w:lineRule="exact"/>
            </w:pPr>
            <w:r>
              <w:drawing>
                <wp:anchor distT="0" distB="0" distL="114300" distR="114300" simplePos="0" relativeHeight="251659264" behindDoc="0" locked="0" layoutInCell="1" allowOverlap="1">
                  <wp:simplePos x="0" y="0"/>
                  <wp:positionH relativeFrom="column">
                    <wp:posOffset>-3810</wp:posOffset>
                  </wp:positionH>
                  <wp:positionV relativeFrom="paragraph">
                    <wp:posOffset>196215</wp:posOffset>
                  </wp:positionV>
                  <wp:extent cx="5267325" cy="6048375"/>
                  <wp:effectExtent l="0" t="0" r="9525" b="9525"/>
                  <wp:wrapSquare wrapText="bothSides"/>
                  <wp:docPr id="88" name="图片 178" descr="IMG_4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78" descr="IMG_4489"/>
                          <pic:cNvPicPr>
                            <a:picLocks noChangeAspect="1"/>
                          </pic:cNvPicPr>
                        </pic:nvPicPr>
                        <pic:blipFill>
                          <a:blip r:embed="rId6"/>
                          <a:stretch>
                            <a:fillRect/>
                          </a:stretch>
                        </pic:blipFill>
                        <pic:spPr>
                          <a:xfrm>
                            <a:off x="0" y="0"/>
                            <a:ext cx="5267325" cy="6048375"/>
                          </a:xfrm>
                          <a:prstGeom prst="rect">
                            <a:avLst/>
                          </a:prstGeom>
                          <a:noFill/>
                          <a:ln>
                            <a:noFill/>
                          </a:ln>
                        </pic:spPr>
                      </pic:pic>
                    </a:graphicData>
                  </a:graphic>
                </wp:anchor>
              </w:drawing>
            </w:r>
          </w:p>
          <w:p>
            <w:pPr>
              <w:spacing w:line="300" w:lineRule="exact"/>
              <w:ind w:firstLine="1260" w:firstLineChars="600"/>
              <w:rPr>
                <w:rFonts w:ascii="Times New Roman" w:hAnsi="Times New Roman"/>
                <w:szCs w:val="24"/>
              </w:rPr>
            </w:pPr>
          </w:p>
          <w:p>
            <w:pPr>
              <w:spacing w:line="300" w:lineRule="exact"/>
              <w:rPr>
                <w:rFonts w:ascii="Times New Roman" w:hAnsi="Times New Roman"/>
                <w:szCs w:val="24"/>
              </w:rPr>
            </w:pPr>
          </w:p>
          <w:p>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1620" w:firstLineChars="900"/>
              <w:jc w:val="left"/>
              <w:rPr>
                <w:rFonts w:ascii="Helvetica Neue" w:hAnsi="Helvetica Neue" w:cs="Helvetica Neue"/>
                <w:kern w:val="0"/>
                <w:sz w:val="18"/>
                <w:szCs w:val="18"/>
              </w:rPr>
            </w:pPr>
          </w:p>
        </w:tc>
      </w:tr>
    </w:tbl>
    <w:p>
      <w:pPr>
        <w:rPr>
          <w:rFonts w:ascii="Times New Roman" w:hAnsi="Times New Roman" w:eastAsia="仿宋_GB2312"/>
          <w:sz w:val="28"/>
        </w:rPr>
      </w:pPr>
    </w:p>
    <w:tbl>
      <w:tblPr>
        <w:tblStyle w:val="7"/>
        <w:tblW w:w="9135" w:type="dxa"/>
        <w:tblInd w:w="-4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1"/>
        <w:gridCol w:w="1769"/>
        <w:gridCol w:w="1680"/>
        <w:gridCol w:w="2205"/>
        <w:gridCol w:w="1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9135" w:type="dxa"/>
            <w:gridSpan w:val="5"/>
            <w:vAlign w:val="center"/>
          </w:tcPr>
          <w:p>
            <w:pPr>
              <w:rPr>
                <w:rFonts w:ascii="Times New Roman" w:hAnsi="Times New Roman"/>
                <w:sz w:val="24"/>
                <w:szCs w:val="24"/>
              </w:rPr>
            </w:pPr>
            <w:r>
              <w:rPr>
                <w:rFonts w:ascii="Times New Roman" w:eastAsia="黑体"/>
                <w:sz w:val="24"/>
                <w:szCs w:val="24"/>
              </w:rPr>
              <w:t>表</w:t>
            </w:r>
            <w:r>
              <w:rPr>
                <w:rFonts w:ascii="Times New Roman" w:hAnsi="Times New Roman" w:eastAsia="黑体"/>
                <w:sz w:val="24"/>
                <w:szCs w:val="24"/>
              </w:rPr>
              <w:t xml:space="preserve">3   </w:t>
            </w:r>
            <w:r>
              <w:rPr>
                <w:rFonts w:ascii="Times New Roman" w:eastAsia="黑体"/>
                <w:color w:val="000000" w:themeColor="text1"/>
                <w:sz w:val="24"/>
                <w:szCs w:val="24"/>
                <w14:textFill>
                  <w14:solidFill>
                    <w14:schemeClr w14:val="tx1"/>
                  </w14:solidFill>
                </w14:textFill>
              </w:rPr>
              <w:t>废物组分、特性（详见附件）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1801" w:type="dxa"/>
            <w:vAlign w:val="center"/>
          </w:tcPr>
          <w:p>
            <w:pPr>
              <w:spacing w:line="240" w:lineRule="auto"/>
              <w:rPr>
                <w:rFonts w:ascii="Times New Roman" w:hAnsi="Times New Roman"/>
                <w:szCs w:val="21"/>
              </w:rPr>
            </w:pPr>
            <w:r>
              <w:rPr>
                <w:rFonts w:ascii="Times New Roman" w:hAnsi="宋体"/>
                <w:szCs w:val="21"/>
              </w:rPr>
              <w:t>废物名称</w:t>
            </w:r>
          </w:p>
        </w:tc>
        <w:tc>
          <w:tcPr>
            <w:tcW w:w="1769" w:type="dxa"/>
            <w:vAlign w:val="center"/>
          </w:tcPr>
          <w:p>
            <w:pPr>
              <w:spacing w:line="240" w:lineRule="auto"/>
              <w:rPr>
                <w:rFonts w:ascii="Times New Roman" w:hAnsi="Times New Roman"/>
                <w:szCs w:val="21"/>
              </w:rPr>
            </w:pPr>
            <w:r>
              <w:rPr>
                <w:rFonts w:ascii="Times New Roman" w:hAnsi="宋体"/>
                <w:szCs w:val="21"/>
              </w:rPr>
              <w:t>主要组分</w:t>
            </w:r>
          </w:p>
        </w:tc>
        <w:tc>
          <w:tcPr>
            <w:tcW w:w="1680" w:type="dxa"/>
            <w:vAlign w:val="center"/>
          </w:tcPr>
          <w:p>
            <w:pPr>
              <w:spacing w:line="240" w:lineRule="auto"/>
              <w:rPr>
                <w:rFonts w:ascii="Times New Roman" w:hAnsi="Times New Roman"/>
                <w:szCs w:val="21"/>
              </w:rPr>
            </w:pPr>
            <w:r>
              <w:rPr>
                <w:rFonts w:ascii="Times New Roman" w:hAnsi="宋体"/>
                <w:szCs w:val="21"/>
              </w:rPr>
              <w:t>相应比例（</w:t>
            </w:r>
            <w:r>
              <w:rPr>
                <w:rFonts w:ascii="Times New Roman" w:hAnsi="Times New Roman"/>
                <w:szCs w:val="21"/>
              </w:rPr>
              <w:t>%</w:t>
            </w:r>
            <w:r>
              <w:rPr>
                <w:rFonts w:ascii="Times New Roman" w:hAnsi="宋体"/>
                <w:szCs w:val="21"/>
              </w:rPr>
              <w:t>）</w:t>
            </w:r>
          </w:p>
        </w:tc>
        <w:tc>
          <w:tcPr>
            <w:tcW w:w="2205" w:type="dxa"/>
            <w:vAlign w:val="center"/>
          </w:tcPr>
          <w:p>
            <w:pPr>
              <w:spacing w:line="240" w:lineRule="auto"/>
              <w:rPr>
                <w:rFonts w:ascii="Times New Roman" w:hAnsi="Times New Roman"/>
                <w:szCs w:val="21"/>
              </w:rPr>
            </w:pPr>
            <w:r>
              <w:rPr>
                <w:rFonts w:ascii="Times New Roman" w:hAnsi="宋体"/>
                <w:szCs w:val="21"/>
              </w:rPr>
              <w:t>危害特性</w:t>
            </w:r>
          </w:p>
        </w:tc>
        <w:tc>
          <w:tcPr>
            <w:tcW w:w="1680" w:type="dxa"/>
            <w:vAlign w:val="center"/>
          </w:tcPr>
          <w:p>
            <w:pPr>
              <w:spacing w:line="240" w:lineRule="auto"/>
              <w:rPr>
                <w:rFonts w:ascii="Times New Roman" w:hAnsi="Times New Roman"/>
                <w:szCs w:val="21"/>
              </w:rPr>
            </w:pPr>
            <w:r>
              <w:rPr>
                <w:rFonts w:ascii="Times New Roman" w:hAnsi="宋体"/>
                <w:szCs w:val="21"/>
              </w:rPr>
              <w:t>形态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01" w:type="dxa"/>
            <w:vMerge w:val="restart"/>
          </w:tcPr>
          <w:p>
            <w:pPr>
              <w:spacing w:line="240" w:lineRule="auto"/>
              <w:rPr>
                <w:rFonts w:ascii="Times New Roman" w:hAnsi="Times New Roman"/>
                <w:szCs w:val="21"/>
              </w:rPr>
            </w:pPr>
            <w:r>
              <w:rPr>
                <w:rFonts w:hint="eastAsia" w:ascii="Times New Roman" w:hAnsi="Times New Roman"/>
                <w:szCs w:val="21"/>
              </w:rPr>
              <w:t>废活性炭</w:t>
            </w:r>
          </w:p>
        </w:tc>
        <w:tc>
          <w:tcPr>
            <w:tcW w:w="1769" w:type="dxa"/>
          </w:tcPr>
          <w:p>
            <w:pPr>
              <w:spacing w:line="240" w:lineRule="auto"/>
              <w:rPr>
                <w:rFonts w:ascii="Times New Roman" w:hAnsi="Times New Roman"/>
                <w:szCs w:val="21"/>
              </w:rPr>
            </w:pPr>
            <w:r>
              <w:rPr>
                <w:rFonts w:hint="eastAsia" w:ascii="Times New Roman" w:hAnsi="Times New Roman"/>
                <w:szCs w:val="21"/>
              </w:rPr>
              <w:t>活性炭</w:t>
            </w:r>
          </w:p>
        </w:tc>
        <w:tc>
          <w:tcPr>
            <w:tcW w:w="1680" w:type="dxa"/>
          </w:tcPr>
          <w:p>
            <w:pPr>
              <w:spacing w:line="240" w:lineRule="auto"/>
              <w:rPr>
                <w:rFonts w:ascii="Times New Roman" w:hAnsi="Times New Roman"/>
                <w:szCs w:val="21"/>
              </w:rPr>
            </w:pPr>
            <w:r>
              <w:rPr>
                <w:rFonts w:hint="eastAsia" w:ascii="Times New Roman" w:hAnsi="Times New Roman"/>
                <w:szCs w:val="21"/>
              </w:rPr>
              <w:t>9</w:t>
            </w:r>
            <w:r>
              <w:rPr>
                <w:rFonts w:ascii="Times New Roman" w:hAnsi="Times New Roman"/>
                <w:szCs w:val="21"/>
              </w:rPr>
              <w:t>0</w:t>
            </w:r>
          </w:p>
        </w:tc>
        <w:tc>
          <w:tcPr>
            <w:tcW w:w="2205" w:type="dxa"/>
            <w:vMerge w:val="restart"/>
            <w:vAlign w:val="center"/>
          </w:tcPr>
          <w:p>
            <w:pPr>
              <w:spacing w:line="240" w:lineRule="auto"/>
              <w:rPr>
                <w:rFonts w:ascii="Times New Roman" w:hAnsi="Times New Roman"/>
                <w:szCs w:val="21"/>
              </w:rPr>
            </w:pPr>
            <w:r>
              <w:rPr>
                <w:rFonts w:ascii="Times New Roman" w:hAnsi="宋体"/>
                <w:szCs w:val="21"/>
              </w:rPr>
              <w:t>腐蚀性</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毒性</w:t>
            </w:r>
            <w:r>
              <w:rPr>
                <w:rFonts w:ascii="Times New Roman" w:hAnsi="Times New Roman"/>
                <w:szCs w:val="21"/>
              </w:rPr>
              <w:t xml:space="preserve">           </w:t>
            </w:r>
            <w:r>
              <w:rPr>
                <w:rFonts w:hint="eastAsia" w:ascii="新宋体" w:hAnsi="新宋体" w:eastAsia="新宋体"/>
                <w:szCs w:val="21"/>
              </w:rPr>
              <w:t>■</w:t>
            </w:r>
          </w:p>
          <w:p>
            <w:pPr>
              <w:spacing w:line="240" w:lineRule="auto"/>
              <w:rPr>
                <w:rFonts w:ascii="新宋体" w:hAnsi="新宋体" w:eastAsia="新宋体"/>
                <w:szCs w:val="21"/>
              </w:rPr>
            </w:pPr>
            <w:r>
              <w:rPr>
                <w:rFonts w:ascii="Times New Roman" w:hAnsi="宋体"/>
                <w:szCs w:val="21"/>
              </w:rPr>
              <w:t>易燃性</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反应性</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感染性</w:t>
            </w:r>
            <w:r>
              <w:rPr>
                <w:rFonts w:ascii="Times New Roman" w:hAnsi="Times New Roman"/>
                <w:szCs w:val="21"/>
              </w:rPr>
              <w:t xml:space="preserve">         □</w:t>
            </w:r>
          </w:p>
        </w:tc>
        <w:tc>
          <w:tcPr>
            <w:tcW w:w="1680" w:type="dxa"/>
            <w:vMerge w:val="restart"/>
            <w:vAlign w:val="center"/>
          </w:tcPr>
          <w:p>
            <w:pPr>
              <w:spacing w:line="240" w:lineRule="auto"/>
              <w:rPr>
                <w:rFonts w:ascii="Times New Roman" w:hAnsi="Times New Roman"/>
                <w:szCs w:val="21"/>
              </w:rPr>
            </w:pPr>
            <w:r>
              <w:rPr>
                <w:rFonts w:ascii="Times New Roman" w:hAnsi="宋体"/>
                <w:szCs w:val="21"/>
              </w:rPr>
              <w:t>固态</w:t>
            </w:r>
            <w:r>
              <w:rPr>
                <w:rFonts w:ascii="Times New Roman" w:hAnsi="Times New Roman"/>
                <w:szCs w:val="21"/>
              </w:rPr>
              <w:t xml:space="preserve">       </w:t>
            </w:r>
            <w:r>
              <w:rPr>
                <w:rFonts w:hint="eastAsia" w:ascii="新宋体" w:hAnsi="新宋体" w:eastAsia="新宋体"/>
                <w:szCs w:val="21"/>
              </w:rPr>
              <w:t>■</w:t>
            </w:r>
          </w:p>
          <w:p>
            <w:pPr>
              <w:spacing w:line="240" w:lineRule="auto"/>
              <w:rPr>
                <w:rFonts w:ascii="Times New Roman" w:hAnsi="Times New Roman"/>
                <w:szCs w:val="21"/>
              </w:rPr>
            </w:pPr>
            <w:r>
              <w:rPr>
                <w:rFonts w:ascii="Times New Roman" w:hAnsi="宋体"/>
                <w:szCs w:val="21"/>
              </w:rPr>
              <w:t>半固态</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粉末态</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颗粒态</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液态</w:t>
            </w:r>
            <w:r>
              <w:rPr>
                <w:rFonts w:ascii="Times New Roman" w:hAnsi="Times New Roman"/>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01" w:type="dxa"/>
            <w:vMerge w:val="continue"/>
          </w:tcPr>
          <w:p>
            <w:pPr>
              <w:spacing w:line="240" w:lineRule="auto"/>
              <w:rPr>
                <w:rFonts w:ascii="Times New Roman" w:hAnsi="Times New Roman"/>
                <w:szCs w:val="21"/>
              </w:rPr>
            </w:pPr>
          </w:p>
        </w:tc>
        <w:tc>
          <w:tcPr>
            <w:tcW w:w="1769" w:type="dxa"/>
          </w:tcPr>
          <w:p>
            <w:pPr>
              <w:spacing w:line="240" w:lineRule="auto"/>
              <w:rPr>
                <w:rFonts w:ascii="Times New Roman" w:hAnsi="Times New Roman"/>
                <w:szCs w:val="21"/>
              </w:rPr>
            </w:pPr>
          </w:p>
        </w:tc>
        <w:tc>
          <w:tcPr>
            <w:tcW w:w="1680" w:type="dxa"/>
          </w:tcPr>
          <w:p>
            <w:pPr>
              <w:spacing w:line="240" w:lineRule="auto"/>
              <w:rPr>
                <w:rFonts w:ascii="Times New Roman" w:hAnsi="Times New Roman"/>
                <w:szCs w:val="21"/>
              </w:rPr>
            </w:pPr>
          </w:p>
        </w:tc>
        <w:tc>
          <w:tcPr>
            <w:tcW w:w="2205" w:type="dxa"/>
            <w:vMerge w:val="continue"/>
            <w:vAlign w:val="center"/>
          </w:tcPr>
          <w:p>
            <w:pPr>
              <w:spacing w:line="240" w:lineRule="auto"/>
              <w:rPr>
                <w:rFonts w:ascii="Times New Roman" w:hAnsi="Times New Roman"/>
                <w:szCs w:val="21"/>
              </w:rPr>
            </w:pPr>
          </w:p>
        </w:tc>
        <w:tc>
          <w:tcPr>
            <w:tcW w:w="1680" w:type="dxa"/>
            <w:vMerge w:val="continue"/>
            <w:vAlign w:val="center"/>
          </w:tcPr>
          <w:p>
            <w:pPr>
              <w:spacing w:line="240" w:lineRule="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01" w:type="dxa"/>
            <w:vMerge w:val="continue"/>
          </w:tcPr>
          <w:p>
            <w:pPr>
              <w:spacing w:line="240" w:lineRule="auto"/>
              <w:rPr>
                <w:rFonts w:ascii="Times New Roman" w:hAnsi="Times New Roman"/>
                <w:szCs w:val="21"/>
              </w:rPr>
            </w:pPr>
          </w:p>
        </w:tc>
        <w:tc>
          <w:tcPr>
            <w:tcW w:w="1769" w:type="dxa"/>
          </w:tcPr>
          <w:p>
            <w:pPr>
              <w:spacing w:line="240" w:lineRule="auto"/>
              <w:rPr>
                <w:rFonts w:ascii="Times New Roman" w:hAnsi="Times New Roman"/>
                <w:szCs w:val="21"/>
              </w:rPr>
            </w:pPr>
          </w:p>
        </w:tc>
        <w:tc>
          <w:tcPr>
            <w:tcW w:w="1680" w:type="dxa"/>
          </w:tcPr>
          <w:p>
            <w:pPr>
              <w:spacing w:line="240" w:lineRule="auto"/>
              <w:rPr>
                <w:rFonts w:ascii="Times New Roman" w:hAnsi="Times New Roman"/>
                <w:szCs w:val="21"/>
              </w:rPr>
            </w:pPr>
          </w:p>
        </w:tc>
        <w:tc>
          <w:tcPr>
            <w:tcW w:w="2205" w:type="dxa"/>
            <w:vMerge w:val="continue"/>
            <w:vAlign w:val="center"/>
          </w:tcPr>
          <w:p>
            <w:pPr>
              <w:spacing w:line="240" w:lineRule="auto"/>
              <w:rPr>
                <w:rFonts w:ascii="Times New Roman" w:hAnsi="Times New Roman"/>
                <w:szCs w:val="21"/>
              </w:rPr>
            </w:pPr>
          </w:p>
        </w:tc>
        <w:tc>
          <w:tcPr>
            <w:tcW w:w="1680" w:type="dxa"/>
            <w:vMerge w:val="continue"/>
            <w:vAlign w:val="center"/>
          </w:tcPr>
          <w:p>
            <w:pPr>
              <w:spacing w:line="240" w:lineRule="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01" w:type="dxa"/>
            <w:vMerge w:val="continue"/>
          </w:tcPr>
          <w:p>
            <w:pPr>
              <w:spacing w:line="240" w:lineRule="auto"/>
              <w:rPr>
                <w:rFonts w:ascii="Times New Roman" w:hAnsi="Times New Roman"/>
                <w:szCs w:val="21"/>
              </w:rPr>
            </w:pPr>
          </w:p>
        </w:tc>
        <w:tc>
          <w:tcPr>
            <w:tcW w:w="1769" w:type="dxa"/>
          </w:tcPr>
          <w:p>
            <w:pPr>
              <w:spacing w:line="240" w:lineRule="auto"/>
              <w:rPr>
                <w:rFonts w:ascii="Times New Roman" w:hAnsi="Times New Roman"/>
                <w:szCs w:val="21"/>
              </w:rPr>
            </w:pPr>
          </w:p>
        </w:tc>
        <w:tc>
          <w:tcPr>
            <w:tcW w:w="1680" w:type="dxa"/>
          </w:tcPr>
          <w:p>
            <w:pPr>
              <w:spacing w:line="240" w:lineRule="auto"/>
              <w:rPr>
                <w:rFonts w:ascii="Times New Roman" w:hAnsi="Times New Roman"/>
                <w:szCs w:val="21"/>
              </w:rPr>
            </w:pPr>
          </w:p>
        </w:tc>
        <w:tc>
          <w:tcPr>
            <w:tcW w:w="2205" w:type="dxa"/>
            <w:vMerge w:val="continue"/>
            <w:vAlign w:val="center"/>
          </w:tcPr>
          <w:p>
            <w:pPr>
              <w:spacing w:line="240" w:lineRule="auto"/>
              <w:rPr>
                <w:rFonts w:ascii="Times New Roman" w:hAnsi="Times New Roman"/>
                <w:szCs w:val="21"/>
              </w:rPr>
            </w:pPr>
          </w:p>
        </w:tc>
        <w:tc>
          <w:tcPr>
            <w:tcW w:w="1680" w:type="dxa"/>
            <w:vMerge w:val="continue"/>
            <w:vAlign w:val="center"/>
          </w:tcPr>
          <w:p>
            <w:pPr>
              <w:spacing w:line="240" w:lineRule="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01" w:type="dxa"/>
            <w:vMerge w:val="continue"/>
          </w:tcPr>
          <w:p>
            <w:pPr>
              <w:spacing w:line="240" w:lineRule="auto"/>
              <w:rPr>
                <w:rFonts w:ascii="Times New Roman" w:hAnsi="Times New Roman"/>
                <w:szCs w:val="21"/>
              </w:rPr>
            </w:pPr>
          </w:p>
        </w:tc>
        <w:tc>
          <w:tcPr>
            <w:tcW w:w="1769" w:type="dxa"/>
          </w:tcPr>
          <w:p>
            <w:pPr>
              <w:spacing w:line="240" w:lineRule="auto"/>
              <w:rPr>
                <w:rFonts w:ascii="Times New Roman" w:hAnsi="Times New Roman"/>
                <w:szCs w:val="21"/>
              </w:rPr>
            </w:pPr>
          </w:p>
        </w:tc>
        <w:tc>
          <w:tcPr>
            <w:tcW w:w="1680" w:type="dxa"/>
          </w:tcPr>
          <w:p>
            <w:pPr>
              <w:spacing w:line="240" w:lineRule="auto"/>
              <w:rPr>
                <w:rFonts w:ascii="Times New Roman" w:hAnsi="Times New Roman"/>
                <w:szCs w:val="21"/>
              </w:rPr>
            </w:pPr>
          </w:p>
        </w:tc>
        <w:tc>
          <w:tcPr>
            <w:tcW w:w="2205" w:type="dxa"/>
            <w:vMerge w:val="continue"/>
            <w:vAlign w:val="center"/>
          </w:tcPr>
          <w:p>
            <w:pPr>
              <w:spacing w:line="240" w:lineRule="auto"/>
              <w:rPr>
                <w:rFonts w:ascii="Times New Roman" w:hAnsi="Times New Roman"/>
                <w:szCs w:val="21"/>
              </w:rPr>
            </w:pPr>
          </w:p>
        </w:tc>
        <w:tc>
          <w:tcPr>
            <w:tcW w:w="1680" w:type="dxa"/>
            <w:vMerge w:val="continue"/>
            <w:vAlign w:val="center"/>
          </w:tcPr>
          <w:p>
            <w:pPr>
              <w:spacing w:line="240" w:lineRule="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801" w:type="dxa"/>
            <w:vMerge w:val="restart"/>
          </w:tcPr>
          <w:p>
            <w:pPr>
              <w:spacing w:line="240" w:lineRule="auto"/>
              <w:rPr>
                <w:rFonts w:ascii="Times New Roman" w:hAnsi="Times New Roman"/>
                <w:szCs w:val="21"/>
              </w:rPr>
            </w:pPr>
          </w:p>
          <w:p>
            <w:pPr>
              <w:spacing w:line="240" w:lineRule="auto"/>
              <w:rPr>
                <w:rFonts w:ascii="Times New Roman" w:hAnsi="Times New Roman"/>
                <w:szCs w:val="21"/>
              </w:rPr>
            </w:pPr>
          </w:p>
          <w:p>
            <w:pPr>
              <w:spacing w:line="240" w:lineRule="auto"/>
              <w:rPr>
                <w:rFonts w:ascii="Times New Roman" w:hAnsi="Times New Roman"/>
                <w:szCs w:val="21"/>
              </w:rPr>
            </w:pPr>
          </w:p>
          <w:p>
            <w:pPr>
              <w:spacing w:line="240" w:lineRule="auto"/>
              <w:rPr>
                <w:rFonts w:ascii="Times New Roman" w:hAnsi="Times New Roman"/>
                <w:szCs w:val="21"/>
              </w:rPr>
            </w:pPr>
          </w:p>
          <w:p>
            <w:pPr>
              <w:spacing w:line="240" w:lineRule="auto"/>
              <w:rPr>
                <w:rFonts w:ascii="Times New Roman" w:hAnsi="Times New Roman"/>
                <w:szCs w:val="21"/>
              </w:rPr>
            </w:pPr>
          </w:p>
        </w:tc>
        <w:tc>
          <w:tcPr>
            <w:tcW w:w="1769" w:type="dxa"/>
          </w:tcPr>
          <w:p>
            <w:pPr>
              <w:spacing w:line="240" w:lineRule="auto"/>
              <w:rPr>
                <w:rFonts w:ascii="Times New Roman" w:hAnsi="Times New Roman"/>
                <w:szCs w:val="21"/>
              </w:rPr>
            </w:pPr>
          </w:p>
        </w:tc>
        <w:tc>
          <w:tcPr>
            <w:tcW w:w="1680" w:type="dxa"/>
          </w:tcPr>
          <w:p>
            <w:pPr>
              <w:spacing w:line="240" w:lineRule="auto"/>
              <w:rPr>
                <w:rFonts w:ascii="Times New Roman" w:hAnsi="Times New Roman"/>
                <w:szCs w:val="21"/>
              </w:rPr>
            </w:pPr>
          </w:p>
        </w:tc>
        <w:tc>
          <w:tcPr>
            <w:tcW w:w="2205" w:type="dxa"/>
            <w:vMerge w:val="restart"/>
            <w:vAlign w:val="center"/>
          </w:tcPr>
          <w:p>
            <w:pPr>
              <w:spacing w:line="240" w:lineRule="auto"/>
              <w:rPr>
                <w:rFonts w:ascii="Times New Roman" w:hAnsi="Times New Roman"/>
                <w:szCs w:val="21"/>
              </w:rPr>
            </w:pPr>
            <w:r>
              <w:rPr>
                <w:rFonts w:ascii="Times New Roman" w:hAnsi="宋体"/>
                <w:szCs w:val="21"/>
              </w:rPr>
              <w:t>腐蚀性</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毒性</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易燃性</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反应性</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感染性</w:t>
            </w:r>
            <w:r>
              <w:rPr>
                <w:rFonts w:ascii="Times New Roman" w:hAnsi="Times New Roman"/>
                <w:szCs w:val="21"/>
              </w:rPr>
              <w:t xml:space="preserve">         □</w:t>
            </w:r>
          </w:p>
        </w:tc>
        <w:tc>
          <w:tcPr>
            <w:tcW w:w="1680" w:type="dxa"/>
            <w:vMerge w:val="restart"/>
            <w:vAlign w:val="center"/>
          </w:tcPr>
          <w:p>
            <w:pPr>
              <w:spacing w:line="240" w:lineRule="auto"/>
              <w:rPr>
                <w:rFonts w:ascii="Times New Roman" w:hAnsi="Times New Roman"/>
                <w:szCs w:val="21"/>
              </w:rPr>
            </w:pPr>
            <w:r>
              <w:rPr>
                <w:rFonts w:ascii="Times New Roman" w:hAnsi="宋体"/>
                <w:szCs w:val="21"/>
              </w:rPr>
              <w:t>固态</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半固态</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粉末态</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颗粒态</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液态</w:t>
            </w:r>
            <w:r>
              <w:rPr>
                <w:rFonts w:ascii="Times New Roman" w:hAnsi="Times New Roman"/>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801" w:type="dxa"/>
            <w:vMerge w:val="continue"/>
          </w:tcPr>
          <w:p>
            <w:pPr>
              <w:spacing w:line="240" w:lineRule="auto"/>
              <w:rPr>
                <w:rFonts w:ascii="Times New Roman" w:hAnsi="Times New Roman"/>
                <w:szCs w:val="21"/>
              </w:rPr>
            </w:pPr>
          </w:p>
        </w:tc>
        <w:tc>
          <w:tcPr>
            <w:tcW w:w="1769" w:type="dxa"/>
          </w:tcPr>
          <w:p>
            <w:pPr>
              <w:spacing w:line="240" w:lineRule="auto"/>
              <w:rPr>
                <w:rFonts w:ascii="Times New Roman" w:hAnsi="Times New Roman"/>
                <w:szCs w:val="21"/>
              </w:rPr>
            </w:pPr>
          </w:p>
        </w:tc>
        <w:tc>
          <w:tcPr>
            <w:tcW w:w="1680" w:type="dxa"/>
          </w:tcPr>
          <w:p>
            <w:pPr>
              <w:spacing w:line="240" w:lineRule="auto"/>
              <w:rPr>
                <w:rFonts w:ascii="Times New Roman" w:hAnsi="Times New Roman"/>
                <w:szCs w:val="21"/>
              </w:rPr>
            </w:pPr>
          </w:p>
        </w:tc>
        <w:tc>
          <w:tcPr>
            <w:tcW w:w="2205" w:type="dxa"/>
            <w:vMerge w:val="continue"/>
            <w:vAlign w:val="center"/>
          </w:tcPr>
          <w:p>
            <w:pPr>
              <w:spacing w:line="240" w:lineRule="auto"/>
              <w:rPr>
                <w:rFonts w:ascii="Times New Roman" w:hAnsi="Times New Roman"/>
                <w:szCs w:val="21"/>
              </w:rPr>
            </w:pPr>
          </w:p>
        </w:tc>
        <w:tc>
          <w:tcPr>
            <w:tcW w:w="1680" w:type="dxa"/>
            <w:vMerge w:val="continue"/>
            <w:vAlign w:val="center"/>
          </w:tcPr>
          <w:p>
            <w:pPr>
              <w:spacing w:line="240" w:lineRule="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801" w:type="dxa"/>
            <w:vMerge w:val="continue"/>
          </w:tcPr>
          <w:p>
            <w:pPr>
              <w:spacing w:line="240" w:lineRule="auto"/>
              <w:rPr>
                <w:rFonts w:ascii="Times New Roman" w:hAnsi="Times New Roman"/>
                <w:szCs w:val="21"/>
              </w:rPr>
            </w:pPr>
          </w:p>
        </w:tc>
        <w:tc>
          <w:tcPr>
            <w:tcW w:w="1769" w:type="dxa"/>
          </w:tcPr>
          <w:p>
            <w:pPr>
              <w:spacing w:line="240" w:lineRule="auto"/>
              <w:rPr>
                <w:rFonts w:ascii="Times New Roman" w:hAnsi="Times New Roman"/>
                <w:szCs w:val="21"/>
              </w:rPr>
            </w:pPr>
          </w:p>
        </w:tc>
        <w:tc>
          <w:tcPr>
            <w:tcW w:w="1680" w:type="dxa"/>
          </w:tcPr>
          <w:p>
            <w:pPr>
              <w:spacing w:line="240" w:lineRule="auto"/>
              <w:rPr>
                <w:rFonts w:ascii="Times New Roman" w:hAnsi="Times New Roman"/>
                <w:szCs w:val="21"/>
              </w:rPr>
            </w:pPr>
          </w:p>
        </w:tc>
        <w:tc>
          <w:tcPr>
            <w:tcW w:w="2205" w:type="dxa"/>
            <w:vMerge w:val="continue"/>
            <w:vAlign w:val="center"/>
          </w:tcPr>
          <w:p>
            <w:pPr>
              <w:spacing w:line="240" w:lineRule="auto"/>
              <w:rPr>
                <w:rFonts w:ascii="Times New Roman" w:hAnsi="Times New Roman"/>
                <w:szCs w:val="21"/>
              </w:rPr>
            </w:pPr>
          </w:p>
        </w:tc>
        <w:tc>
          <w:tcPr>
            <w:tcW w:w="1680" w:type="dxa"/>
            <w:vMerge w:val="continue"/>
            <w:vAlign w:val="center"/>
          </w:tcPr>
          <w:p>
            <w:pPr>
              <w:spacing w:line="240" w:lineRule="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801" w:type="dxa"/>
            <w:vMerge w:val="continue"/>
          </w:tcPr>
          <w:p>
            <w:pPr>
              <w:spacing w:line="240" w:lineRule="auto"/>
              <w:rPr>
                <w:rFonts w:ascii="Times New Roman" w:hAnsi="Times New Roman"/>
                <w:szCs w:val="21"/>
              </w:rPr>
            </w:pPr>
          </w:p>
        </w:tc>
        <w:tc>
          <w:tcPr>
            <w:tcW w:w="1769" w:type="dxa"/>
          </w:tcPr>
          <w:p>
            <w:pPr>
              <w:spacing w:line="240" w:lineRule="auto"/>
              <w:rPr>
                <w:rFonts w:ascii="Times New Roman" w:hAnsi="Times New Roman"/>
                <w:szCs w:val="21"/>
              </w:rPr>
            </w:pPr>
          </w:p>
        </w:tc>
        <w:tc>
          <w:tcPr>
            <w:tcW w:w="1680" w:type="dxa"/>
          </w:tcPr>
          <w:p>
            <w:pPr>
              <w:spacing w:line="240" w:lineRule="auto"/>
              <w:rPr>
                <w:rFonts w:ascii="Times New Roman" w:hAnsi="Times New Roman"/>
                <w:szCs w:val="21"/>
              </w:rPr>
            </w:pPr>
          </w:p>
        </w:tc>
        <w:tc>
          <w:tcPr>
            <w:tcW w:w="2205" w:type="dxa"/>
            <w:vMerge w:val="continue"/>
            <w:vAlign w:val="center"/>
          </w:tcPr>
          <w:p>
            <w:pPr>
              <w:spacing w:line="240" w:lineRule="auto"/>
              <w:rPr>
                <w:rFonts w:ascii="Times New Roman" w:hAnsi="Times New Roman"/>
                <w:szCs w:val="21"/>
              </w:rPr>
            </w:pPr>
          </w:p>
        </w:tc>
        <w:tc>
          <w:tcPr>
            <w:tcW w:w="1680" w:type="dxa"/>
            <w:vMerge w:val="continue"/>
            <w:vAlign w:val="center"/>
          </w:tcPr>
          <w:p>
            <w:pPr>
              <w:spacing w:line="240" w:lineRule="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801" w:type="dxa"/>
            <w:vMerge w:val="continue"/>
          </w:tcPr>
          <w:p>
            <w:pPr>
              <w:spacing w:line="240" w:lineRule="auto"/>
              <w:rPr>
                <w:rFonts w:ascii="Times New Roman" w:hAnsi="Times New Roman"/>
                <w:szCs w:val="21"/>
              </w:rPr>
            </w:pPr>
          </w:p>
        </w:tc>
        <w:tc>
          <w:tcPr>
            <w:tcW w:w="1769" w:type="dxa"/>
          </w:tcPr>
          <w:p>
            <w:pPr>
              <w:spacing w:line="240" w:lineRule="auto"/>
              <w:rPr>
                <w:rFonts w:ascii="Times New Roman" w:hAnsi="Times New Roman"/>
                <w:szCs w:val="21"/>
              </w:rPr>
            </w:pPr>
          </w:p>
        </w:tc>
        <w:tc>
          <w:tcPr>
            <w:tcW w:w="1680" w:type="dxa"/>
          </w:tcPr>
          <w:p>
            <w:pPr>
              <w:spacing w:line="240" w:lineRule="auto"/>
              <w:rPr>
                <w:rFonts w:ascii="Times New Roman" w:hAnsi="Times New Roman"/>
                <w:szCs w:val="21"/>
              </w:rPr>
            </w:pPr>
          </w:p>
        </w:tc>
        <w:tc>
          <w:tcPr>
            <w:tcW w:w="2205" w:type="dxa"/>
            <w:vMerge w:val="continue"/>
            <w:vAlign w:val="center"/>
          </w:tcPr>
          <w:p>
            <w:pPr>
              <w:spacing w:line="240" w:lineRule="auto"/>
              <w:rPr>
                <w:rFonts w:ascii="Times New Roman" w:hAnsi="Times New Roman"/>
                <w:szCs w:val="21"/>
              </w:rPr>
            </w:pPr>
          </w:p>
        </w:tc>
        <w:tc>
          <w:tcPr>
            <w:tcW w:w="1680" w:type="dxa"/>
            <w:vMerge w:val="continue"/>
            <w:vAlign w:val="center"/>
          </w:tcPr>
          <w:p>
            <w:pPr>
              <w:spacing w:line="240" w:lineRule="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801" w:type="dxa"/>
          </w:tcPr>
          <w:p>
            <w:pPr>
              <w:spacing w:line="240" w:lineRule="auto"/>
              <w:rPr>
                <w:rFonts w:ascii="Times New Roman" w:hAnsi="Times New Roman"/>
                <w:szCs w:val="21"/>
              </w:rPr>
            </w:pPr>
          </w:p>
          <w:p>
            <w:pPr>
              <w:spacing w:line="240" w:lineRule="auto"/>
              <w:rPr>
                <w:rFonts w:ascii="Times New Roman" w:hAnsi="Times New Roman"/>
                <w:szCs w:val="21"/>
              </w:rPr>
            </w:pPr>
          </w:p>
          <w:p>
            <w:pPr>
              <w:spacing w:line="240" w:lineRule="auto"/>
              <w:rPr>
                <w:rFonts w:ascii="Times New Roman" w:hAnsi="Times New Roman"/>
                <w:szCs w:val="21"/>
              </w:rPr>
            </w:pPr>
          </w:p>
          <w:p>
            <w:pPr>
              <w:spacing w:line="240" w:lineRule="auto"/>
              <w:rPr>
                <w:rFonts w:ascii="Times New Roman" w:hAnsi="Times New Roman"/>
                <w:szCs w:val="21"/>
              </w:rPr>
            </w:pPr>
          </w:p>
          <w:p>
            <w:pPr>
              <w:spacing w:line="240" w:lineRule="auto"/>
              <w:rPr>
                <w:rFonts w:ascii="Times New Roman" w:hAnsi="Times New Roman"/>
                <w:szCs w:val="21"/>
              </w:rPr>
            </w:pPr>
          </w:p>
        </w:tc>
        <w:tc>
          <w:tcPr>
            <w:tcW w:w="1769" w:type="dxa"/>
          </w:tcPr>
          <w:p>
            <w:pPr>
              <w:spacing w:line="240" w:lineRule="auto"/>
              <w:rPr>
                <w:rFonts w:ascii="Times New Roman" w:hAnsi="Times New Roman"/>
                <w:szCs w:val="21"/>
              </w:rPr>
            </w:pPr>
          </w:p>
        </w:tc>
        <w:tc>
          <w:tcPr>
            <w:tcW w:w="1680" w:type="dxa"/>
          </w:tcPr>
          <w:p>
            <w:pPr>
              <w:spacing w:line="240" w:lineRule="auto"/>
              <w:rPr>
                <w:rFonts w:ascii="Times New Roman" w:hAnsi="Times New Roman"/>
                <w:szCs w:val="21"/>
              </w:rPr>
            </w:pPr>
          </w:p>
        </w:tc>
        <w:tc>
          <w:tcPr>
            <w:tcW w:w="2205" w:type="dxa"/>
            <w:vAlign w:val="center"/>
          </w:tcPr>
          <w:p>
            <w:pPr>
              <w:spacing w:line="240" w:lineRule="auto"/>
              <w:rPr>
                <w:rFonts w:ascii="Times New Roman" w:hAnsi="Times New Roman"/>
                <w:szCs w:val="21"/>
              </w:rPr>
            </w:pPr>
            <w:r>
              <w:rPr>
                <w:rFonts w:ascii="Times New Roman" w:hAnsi="宋体"/>
                <w:szCs w:val="21"/>
              </w:rPr>
              <w:t>腐蚀性</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毒性</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易燃性</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反应性</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感染性</w:t>
            </w:r>
            <w:r>
              <w:rPr>
                <w:rFonts w:ascii="Times New Roman" w:hAnsi="Times New Roman"/>
                <w:szCs w:val="21"/>
              </w:rPr>
              <w:t xml:space="preserve">         □</w:t>
            </w:r>
          </w:p>
        </w:tc>
        <w:tc>
          <w:tcPr>
            <w:tcW w:w="1680" w:type="dxa"/>
            <w:vAlign w:val="center"/>
          </w:tcPr>
          <w:p>
            <w:pPr>
              <w:spacing w:line="240" w:lineRule="auto"/>
              <w:rPr>
                <w:rFonts w:ascii="Times New Roman" w:hAnsi="Times New Roman"/>
                <w:szCs w:val="21"/>
              </w:rPr>
            </w:pPr>
            <w:r>
              <w:rPr>
                <w:rFonts w:ascii="Times New Roman" w:hAnsi="宋体"/>
                <w:szCs w:val="21"/>
              </w:rPr>
              <w:t>固态</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半固态</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粉末态</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颗粒态</w:t>
            </w:r>
            <w:r>
              <w:rPr>
                <w:rFonts w:ascii="Times New Roman" w:hAnsi="Times New Roman"/>
                <w:szCs w:val="21"/>
              </w:rPr>
              <w:t xml:space="preserve">     □</w:t>
            </w:r>
          </w:p>
          <w:p>
            <w:pPr>
              <w:spacing w:line="240" w:lineRule="auto"/>
              <w:rPr>
                <w:rFonts w:ascii="Times New Roman" w:hAnsi="Times New Roman"/>
                <w:szCs w:val="21"/>
              </w:rPr>
            </w:pPr>
            <w:r>
              <w:rPr>
                <w:rFonts w:ascii="Times New Roman" w:hAnsi="宋体"/>
                <w:szCs w:val="21"/>
              </w:rPr>
              <w:t>液态</w:t>
            </w:r>
            <w:r>
              <w:rPr>
                <w:rFonts w:ascii="Times New Roman" w:hAnsi="Times New Roman"/>
                <w:szCs w:val="21"/>
              </w:rPr>
              <w:t xml:space="preserve">       □</w:t>
            </w:r>
          </w:p>
        </w:tc>
      </w:tr>
    </w:tbl>
    <w:p>
      <w:pPr>
        <w:rPr>
          <w:rFonts w:ascii="Times New Roman" w:hAnsi="Times New Roman" w:eastAsia="黑体"/>
          <w:sz w:val="28"/>
          <w:szCs w:val="28"/>
        </w:rPr>
      </w:pPr>
      <w:r>
        <w:rPr>
          <w:rFonts w:ascii="Times New Roman" w:eastAsia="黑体"/>
          <w:sz w:val="28"/>
          <w:szCs w:val="28"/>
        </w:rPr>
        <w:t>第二部分：废物包装、运输情况</w:t>
      </w:r>
    </w:p>
    <w:tbl>
      <w:tblPr>
        <w:tblStyle w:val="7"/>
        <w:tblW w:w="9240" w:type="dxa"/>
        <w:tblInd w:w="-4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5"/>
        <w:gridCol w:w="1634"/>
        <w:gridCol w:w="2075"/>
        <w:gridCol w:w="1421"/>
        <w:gridCol w:w="1379"/>
        <w:gridCol w:w="1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trPr>
        <w:tc>
          <w:tcPr>
            <w:tcW w:w="9240" w:type="dxa"/>
            <w:gridSpan w:val="6"/>
            <w:vAlign w:val="center"/>
          </w:tcPr>
          <w:p>
            <w:pPr>
              <w:rPr>
                <w:rFonts w:ascii="Times New Roman" w:hAnsi="Times New Roman"/>
                <w:b/>
                <w:bCs/>
              </w:rPr>
            </w:pPr>
            <w:r>
              <w:rPr>
                <w:rFonts w:ascii="Times New Roman"/>
                <w:b/>
                <w:bCs/>
              </w:rPr>
              <w:t>表</w:t>
            </w:r>
            <w:r>
              <w:rPr>
                <w:rFonts w:ascii="Times New Roman" w:hAnsi="Times New Roman"/>
                <w:b/>
                <w:bCs/>
              </w:rPr>
              <w:t xml:space="preserve">1   </w:t>
            </w:r>
            <w:r>
              <w:rPr>
                <w:rFonts w:ascii="Times New Roman"/>
                <w:b/>
                <w:bCs/>
              </w:rPr>
              <w:t>废物包装情况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015" w:type="dxa"/>
            <w:vAlign w:val="center"/>
          </w:tcPr>
          <w:p>
            <w:pPr>
              <w:jc w:val="center"/>
              <w:rPr>
                <w:rFonts w:ascii="Times New Roman" w:hAnsi="Times New Roman"/>
              </w:rPr>
            </w:pPr>
            <w:r>
              <w:rPr>
                <w:rFonts w:ascii="Times New Roman"/>
              </w:rPr>
              <w:t>序号</w:t>
            </w:r>
          </w:p>
        </w:tc>
        <w:tc>
          <w:tcPr>
            <w:tcW w:w="1634" w:type="dxa"/>
            <w:vAlign w:val="center"/>
          </w:tcPr>
          <w:p>
            <w:pPr>
              <w:jc w:val="center"/>
              <w:rPr>
                <w:rFonts w:ascii="Times New Roman" w:hAnsi="Times New Roman"/>
              </w:rPr>
            </w:pPr>
            <w:r>
              <w:rPr>
                <w:rFonts w:ascii="Times New Roman"/>
              </w:rPr>
              <w:t>废物名称</w:t>
            </w:r>
          </w:p>
        </w:tc>
        <w:tc>
          <w:tcPr>
            <w:tcW w:w="2075" w:type="dxa"/>
            <w:vAlign w:val="center"/>
          </w:tcPr>
          <w:p>
            <w:pPr>
              <w:jc w:val="center"/>
              <w:rPr>
                <w:rFonts w:ascii="Times New Roman" w:hAnsi="Times New Roman"/>
              </w:rPr>
            </w:pPr>
            <w:r>
              <w:rPr>
                <w:rFonts w:ascii="Times New Roman"/>
              </w:rPr>
              <w:t>包装物（容器）名称</w:t>
            </w:r>
          </w:p>
        </w:tc>
        <w:tc>
          <w:tcPr>
            <w:tcW w:w="1421" w:type="dxa"/>
            <w:vAlign w:val="center"/>
          </w:tcPr>
          <w:p>
            <w:pPr>
              <w:jc w:val="center"/>
              <w:rPr>
                <w:rFonts w:ascii="Times New Roman" w:hAnsi="Times New Roman"/>
              </w:rPr>
            </w:pPr>
            <w:r>
              <w:rPr>
                <w:rFonts w:ascii="Times New Roman"/>
              </w:rPr>
              <w:t>材质</w:t>
            </w:r>
          </w:p>
        </w:tc>
        <w:tc>
          <w:tcPr>
            <w:tcW w:w="1379" w:type="dxa"/>
            <w:vAlign w:val="center"/>
          </w:tcPr>
          <w:p>
            <w:pPr>
              <w:jc w:val="center"/>
              <w:rPr>
                <w:rFonts w:ascii="Times New Roman" w:hAnsi="Times New Roman"/>
              </w:rPr>
            </w:pPr>
            <w:r>
              <w:rPr>
                <w:rFonts w:ascii="Times New Roman"/>
              </w:rPr>
              <w:t>容积</w:t>
            </w:r>
          </w:p>
        </w:tc>
        <w:tc>
          <w:tcPr>
            <w:tcW w:w="1716" w:type="dxa"/>
            <w:vAlign w:val="center"/>
          </w:tcPr>
          <w:p>
            <w:pPr>
              <w:jc w:val="center"/>
              <w:rPr>
                <w:rFonts w:ascii="Times New Roman" w:hAnsi="Times New Roman"/>
              </w:rPr>
            </w:pPr>
            <w:r>
              <w:rPr>
                <w:rFonts w:ascii="Times New Roman"/>
              </w:rPr>
              <w:t>是否有危废标签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015" w:type="dxa"/>
            <w:vAlign w:val="center"/>
          </w:tcPr>
          <w:p>
            <w:pPr>
              <w:jc w:val="center"/>
              <w:rPr>
                <w:rFonts w:ascii="Times New Roman" w:hAnsi="Times New Roman"/>
              </w:rPr>
            </w:pPr>
            <w:r>
              <w:rPr>
                <w:rFonts w:hint="eastAsia" w:ascii="Times New Roman" w:hAnsi="Times New Roman"/>
              </w:rPr>
              <w:t>1</w:t>
            </w:r>
          </w:p>
        </w:tc>
        <w:tc>
          <w:tcPr>
            <w:tcW w:w="1634" w:type="dxa"/>
            <w:vAlign w:val="center"/>
          </w:tcPr>
          <w:p>
            <w:pPr>
              <w:jc w:val="center"/>
              <w:rPr>
                <w:rFonts w:ascii="Times New Roman" w:hAnsi="Times New Roman"/>
              </w:rPr>
            </w:pPr>
            <w:r>
              <w:rPr>
                <w:rFonts w:hint="eastAsia" w:ascii="Times New Roman" w:hAnsi="Times New Roman"/>
              </w:rPr>
              <w:t>废活性炭</w:t>
            </w:r>
          </w:p>
        </w:tc>
        <w:tc>
          <w:tcPr>
            <w:tcW w:w="2075" w:type="dxa"/>
            <w:vAlign w:val="center"/>
          </w:tcPr>
          <w:p>
            <w:pPr>
              <w:jc w:val="center"/>
              <w:rPr>
                <w:rFonts w:ascii="Times New Roman" w:hAnsi="Times New Roman"/>
              </w:rPr>
            </w:pPr>
            <w:r>
              <w:rPr>
                <w:rFonts w:hint="eastAsia" w:ascii="Times New Roman" w:hAnsi="Times New Roman"/>
              </w:rPr>
              <w:t>编织袋</w:t>
            </w:r>
          </w:p>
        </w:tc>
        <w:tc>
          <w:tcPr>
            <w:tcW w:w="1421" w:type="dxa"/>
            <w:vAlign w:val="center"/>
          </w:tcPr>
          <w:p>
            <w:pPr>
              <w:jc w:val="center"/>
              <w:rPr>
                <w:rFonts w:ascii="Times New Roman" w:hAnsi="Times New Roman"/>
              </w:rPr>
            </w:pPr>
            <w:r>
              <w:rPr>
                <w:rFonts w:hint="eastAsia" w:ascii="Times New Roman" w:hAnsi="Times New Roman"/>
              </w:rPr>
              <w:t>尼龙编织袋</w:t>
            </w:r>
          </w:p>
        </w:tc>
        <w:tc>
          <w:tcPr>
            <w:tcW w:w="1379" w:type="dxa"/>
          </w:tcPr>
          <w:p>
            <w:pPr>
              <w:jc w:val="center"/>
              <w:rPr>
                <w:rFonts w:ascii="Times New Roman" w:hAnsi="Times New Roman"/>
              </w:rPr>
            </w:pPr>
            <w:r>
              <w:rPr>
                <w:rFonts w:hint="eastAsia" w:ascii="Times New Roman" w:hAnsi="Times New Roman"/>
              </w:rPr>
              <w:t>1立方米</w:t>
            </w:r>
          </w:p>
        </w:tc>
        <w:tc>
          <w:tcPr>
            <w:tcW w:w="1716" w:type="dxa"/>
            <w:vAlign w:val="center"/>
          </w:tcPr>
          <w:p>
            <w:pPr>
              <w:jc w:val="center"/>
              <w:rPr>
                <w:rFonts w:ascii="Times New Roman" w:hAnsi="Times New Roman"/>
              </w:rPr>
            </w:pPr>
            <w:r>
              <w:rPr>
                <w:rFonts w:hint="eastAsia" w:ascii="Times New Roman" w:hAnsi="Times New Roma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015" w:type="dxa"/>
          </w:tcPr>
          <w:p>
            <w:pPr>
              <w:rPr>
                <w:rFonts w:ascii="Times New Roman" w:hAnsi="Times New Roman"/>
              </w:rPr>
            </w:pPr>
          </w:p>
        </w:tc>
        <w:tc>
          <w:tcPr>
            <w:tcW w:w="1634" w:type="dxa"/>
          </w:tcPr>
          <w:p>
            <w:pPr>
              <w:rPr>
                <w:rFonts w:ascii="Times New Roman" w:hAnsi="Times New Roman"/>
              </w:rPr>
            </w:pPr>
          </w:p>
        </w:tc>
        <w:tc>
          <w:tcPr>
            <w:tcW w:w="2075" w:type="dxa"/>
          </w:tcPr>
          <w:p>
            <w:pPr>
              <w:rPr>
                <w:rFonts w:ascii="Times New Roman" w:hAnsi="Times New Roman"/>
              </w:rPr>
            </w:pPr>
          </w:p>
        </w:tc>
        <w:tc>
          <w:tcPr>
            <w:tcW w:w="1421" w:type="dxa"/>
          </w:tcPr>
          <w:p>
            <w:pPr>
              <w:rPr>
                <w:rFonts w:ascii="Times New Roman" w:hAnsi="Times New Roman"/>
              </w:rPr>
            </w:pPr>
          </w:p>
        </w:tc>
        <w:tc>
          <w:tcPr>
            <w:tcW w:w="1379" w:type="dxa"/>
          </w:tcPr>
          <w:p>
            <w:pPr>
              <w:rPr>
                <w:rFonts w:ascii="Times New Roman" w:hAnsi="Times New Roman"/>
              </w:rPr>
            </w:pPr>
          </w:p>
        </w:tc>
        <w:tc>
          <w:tcPr>
            <w:tcW w:w="1716" w:type="dxa"/>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015" w:type="dxa"/>
          </w:tcPr>
          <w:p>
            <w:pPr>
              <w:rPr>
                <w:rFonts w:ascii="Times New Roman" w:hAnsi="Times New Roman"/>
              </w:rPr>
            </w:pPr>
          </w:p>
        </w:tc>
        <w:tc>
          <w:tcPr>
            <w:tcW w:w="1634" w:type="dxa"/>
          </w:tcPr>
          <w:p>
            <w:pPr>
              <w:rPr>
                <w:rFonts w:ascii="Times New Roman" w:hAnsi="Times New Roman"/>
              </w:rPr>
            </w:pPr>
          </w:p>
        </w:tc>
        <w:tc>
          <w:tcPr>
            <w:tcW w:w="2075" w:type="dxa"/>
          </w:tcPr>
          <w:p>
            <w:pPr>
              <w:rPr>
                <w:rFonts w:ascii="Times New Roman" w:hAnsi="Times New Roman"/>
              </w:rPr>
            </w:pPr>
          </w:p>
        </w:tc>
        <w:tc>
          <w:tcPr>
            <w:tcW w:w="1421" w:type="dxa"/>
          </w:tcPr>
          <w:p>
            <w:pPr>
              <w:rPr>
                <w:rFonts w:ascii="Times New Roman" w:hAnsi="Times New Roman"/>
              </w:rPr>
            </w:pPr>
          </w:p>
        </w:tc>
        <w:tc>
          <w:tcPr>
            <w:tcW w:w="1379" w:type="dxa"/>
          </w:tcPr>
          <w:p>
            <w:pPr>
              <w:rPr>
                <w:rFonts w:ascii="Times New Roman" w:hAnsi="Times New Roman"/>
              </w:rPr>
            </w:pPr>
          </w:p>
        </w:tc>
        <w:tc>
          <w:tcPr>
            <w:tcW w:w="1716" w:type="dxa"/>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015" w:type="dxa"/>
          </w:tcPr>
          <w:p>
            <w:pPr>
              <w:rPr>
                <w:rFonts w:ascii="Times New Roman" w:hAnsi="Times New Roman"/>
              </w:rPr>
            </w:pPr>
          </w:p>
        </w:tc>
        <w:tc>
          <w:tcPr>
            <w:tcW w:w="1634" w:type="dxa"/>
          </w:tcPr>
          <w:p>
            <w:pPr>
              <w:rPr>
                <w:rFonts w:ascii="Times New Roman" w:hAnsi="Times New Roman"/>
              </w:rPr>
            </w:pPr>
          </w:p>
        </w:tc>
        <w:tc>
          <w:tcPr>
            <w:tcW w:w="2075" w:type="dxa"/>
          </w:tcPr>
          <w:p>
            <w:pPr>
              <w:rPr>
                <w:rFonts w:ascii="Times New Roman" w:hAnsi="Times New Roman"/>
              </w:rPr>
            </w:pPr>
          </w:p>
        </w:tc>
        <w:tc>
          <w:tcPr>
            <w:tcW w:w="1421" w:type="dxa"/>
          </w:tcPr>
          <w:p>
            <w:pPr>
              <w:rPr>
                <w:rFonts w:ascii="Times New Roman" w:hAnsi="Times New Roman"/>
              </w:rPr>
            </w:pPr>
          </w:p>
        </w:tc>
        <w:tc>
          <w:tcPr>
            <w:tcW w:w="1379" w:type="dxa"/>
          </w:tcPr>
          <w:p>
            <w:pPr>
              <w:rPr>
                <w:rFonts w:ascii="Times New Roman" w:hAnsi="Times New Roman"/>
              </w:rPr>
            </w:pPr>
          </w:p>
        </w:tc>
        <w:tc>
          <w:tcPr>
            <w:tcW w:w="1716" w:type="dxa"/>
          </w:tcPr>
          <w:p>
            <w:pP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015" w:type="dxa"/>
          </w:tcPr>
          <w:p>
            <w:pPr>
              <w:rPr>
                <w:rFonts w:ascii="Times New Roman" w:hAnsi="Times New Roman"/>
              </w:rPr>
            </w:pPr>
          </w:p>
        </w:tc>
        <w:tc>
          <w:tcPr>
            <w:tcW w:w="1634" w:type="dxa"/>
          </w:tcPr>
          <w:p>
            <w:pPr>
              <w:rPr>
                <w:rFonts w:ascii="Times New Roman" w:hAnsi="Times New Roman"/>
              </w:rPr>
            </w:pPr>
          </w:p>
        </w:tc>
        <w:tc>
          <w:tcPr>
            <w:tcW w:w="2075" w:type="dxa"/>
          </w:tcPr>
          <w:p>
            <w:pPr>
              <w:rPr>
                <w:rFonts w:ascii="Times New Roman" w:hAnsi="Times New Roman"/>
              </w:rPr>
            </w:pPr>
          </w:p>
        </w:tc>
        <w:tc>
          <w:tcPr>
            <w:tcW w:w="1421" w:type="dxa"/>
          </w:tcPr>
          <w:p>
            <w:pPr>
              <w:rPr>
                <w:rFonts w:ascii="Times New Roman" w:hAnsi="Times New Roman"/>
              </w:rPr>
            </w:pPr>
          </w:p>
        </w:tc>
        <w:tc>
          <w:tcPr>
            <w:tcW w:w="1379" w:type="dxa"/>
          </w:tcPr>
          <w:p>
            <w:pPr>
              <w:rPr>
                <w:rFonts w:ascii="Times New Roman" w:hAnsi="Times New Roman"/>
              </w:rPr>
            </w:pPr>
          </w:p>
        </w:tc>
        <w:tc>
          <w:tcPr>
            <w:tcW w:w="1716" w:type="dxa"/>
          </w:tcPr>
          <w:p>
            <w:pPr>
              <w:rPr>
                <w:rFonts w:ascii="Times New Roman" w:hAnsi="Times New Roman"/>
              </w:rPr>
            </w:pPr>
          </w:p>
        </w:tc>
      </w:tr>
    </w:tbl>
    <w:p>
      <w:pPr>
        <w:rPr>
          <w:rFonts w:ascii="Times New Roman" w:hAnsi="Times New Roman" w:eastAsia="黑体"/>
          <w:sz w:val="28"/>
          <w:szCs w:val="28"/>
        </w:rPr>
      </w:pPr>
    </w:p>
    <w:p>
      <w:pPr>
        <w:rPr>
          <w:rFonts w:ascii="Times New Roman" w:hAnsi="Times New Roman" w:eastAsia="黑体"/>
          <w:sz w:val="28"/>
          <w:szCs w:val="28"/>
        </w:rPr>
      </w:pPr>
    </w:p>
    <w:p>
      <w:pPr>
        <w:rPr>
          <w:rFonts w:ascii="Times New Roman" w:hAnsi="Times New Roman" w:eastAsia="黑体"/>
          <w:sz w:val="28"/>
          <w:szCs w:val="28"/>
        </w:rPr>
      </w:pPr>
    </w:p>
    <w:p>
      <w:pPr>
        <w:rPr>
          <w:rFonts w:ascii="Times New Roman" w:hAnsi="Times New Roman" w:eastAsia="黑体"/>
          <w:sz w:val="28"/>
          <w:szCs w:val="28"/>
        </w:rPr>
      </w:pPr>
    </w:p>
    <w:p>
      <w:pPr>
        <w:rPr>
          <w:rFonts w:ascii="Times New Roman" w:hAnsi="Times New Roman" w:eastAsia="黑体"/>
          <w:sz w:val="28"/>
          <w:szCs w:val="28"/>
        </w:rPr>
      </w:pPr>
    </w:p>
    <w:tbl>
      <w:tblPr>
        <w:tblStyle w:val="7"/>
        <w:tblW w:w="9240" w:type="dxa"/>
        <w:tblInd w:w="-4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240" w:type="dxa"/>
            <w:vAlign w:val="center"/>
          </w:tcPr>
          <w:p>
            <w:pPr>
              <w:rPr>
                <w:rFonts w:ascii="Times New Roman" w:hAnsi="Times New Roman"/>
                <w:b/>
                <w:bCs/>
                <w:szCs w:val="24"/>
              </w:rPr>
            </w:pPr>
            <w:r>
              <w:rPr>
                <w:rFonts w:ascii="Times New Roman"/>
                <w:b/>
                <w:bCs/>
                <w:szCs w:val="24"/>
              </w:rPr>
              <w:t>表</w:t>
            </w:r>
            <w:r>
              <w:rPr>
                <w:rFonts w:ascii="Times New Roman" w:hAnsi="Times New Roman"/>
                <w:b/>
                <w:bCs/>
                <w:szCs w:val="24"/>
              </w:rPr>
              <w:t xml:space="preserve">2  </w:t>
            </w:r>
            <w:r>
              <w:rPr>
                <w:rFonts w:ascii="Times New Roman"/>
                <w:b/>
                <w:bCs/>
                <w:szCs w:val="24"/>
              </w:rPr>
              <w:t>废物运输情况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8" w:hRule="atLeast"/>
        </w:trPr>
        <w:tc>
          <w:tcPr>
            <w:tcW w:w="9240" w:type="dxa"/>
          </w:tcPr>
          <w:p>
            <w:pPr>
              <w:rPr>
                <w:rFonts w:ascii="Times New Roman"/>
                <w:color w:val="000000" w:themeColor="text1"/>
                <w:szCs w:val="24"/>
                <w14:textFill>
                  <w14:solidFill>
                    <w14:schemeClr w14:val="tx1"/>
                  </w14:solidFill>
                </w14:textFill>
              </w:rPr>
            </w:pPr>
            <w:r>
              <w:rPr>
                <w:rFonts w:ascii="Times New Roman"/>
                <w:color w:val="000000" w:themeColor="text1"/>
                <w:szCs w:val="24"/>
                <w14:textFill>
                  <w14:solidFill>
                    <w14:schemeClr w14:val="tx1"/>
                  </w14:solidFill>
                </w14:textFill>
              </w:rPr>
              <w:t>运输是否符合交管部门运输相关规定（文字描述）</w:t>
            </w:r>
          </w:p>
          <w:p>
            <w:pPr>
              <w:ind w:firstLine="420" w:firstLineChars="200"/>
              <w:rPr>
                <w:rFonts w:ascii="Times New Roman" w:hAnsi="Times New Roman"/>
                <w:szCs w:val="24"/>
              </w:rPr>
            </w:pPr>
            <w:r>
              <w:rPr>
                <w:rFonts w:hint="eastAsia"/>
              </w:rPr>
              <w:t>上海振华重工（集团）股份有限公司长兴分公司的危险废物废活性炭由苏州惠勤环保科技有限公司委托常州市奥海航运有限公司（水运）、苏州市通林运输有限公司（陆运）、使用专用危险废物运输车辆运输，配有危险废物运输资格的驾驶员和押运员。委托单位与运输公司签有长期协议，运输公司具备危废运输资质，具备道路运输经营许可证、水路运输许可证，经营范围符合交管部门运输的相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240" w:type="dxa"/>
            <w:vAlign w:val="center"/>
          </w:tcPr>
          <w:p>
            <w:pPr>
              <w:rPr>
                <w:rFonts w:ascii="Times New Roman" w:hAnsi="Times New Roman"/>
                <w:szCs w:val="24"/>
              </w:rPr>
            </w:pPr>
            <w:r>
              <w:rPr>
                <w:rFonts w:ascii="Times New Roman"/>
                <w:szCs w:val="24"/>
              </w:rPr>
              <w:t>运输方式：</w:t>
            </w:r>
            <w:r>
              <w:rPr>
                <w:rFonts w:ascii="Times New Roman" w:hAnsi="Times New Roman"/>
                <w:szCs w:val="24"/>
              </w:rPr>
              <w:t xml:space="preserve">   </w:t>
            </w:r>
            <w:r>
              <w:rPr>
                <w:rFonts w:ascii="Times New Roman"/>
                <w:szCs w:val="24"/>
              </w:rPr>
              <w:t>道路</w:t>
            </w:r>
            <w:r>
              <w:rPr>
                <w:rFonts w:ascii="Times New Roman" w:hAnsi="Times New Roman"/>
                <w:szCs w:val="24"/>
              </w:rPr>
              <w:t xml:space="preserve"> </w:t>
            </w:r>
            <w:r>
              <w:rPr>
                <w:rFonts w:hint="eastAsia" w:ascii="新宋体" w:hAnsi="新宋体" w:eastAsia="新宋体"/>
                <w:szCs w:val="24"/>
              </w:rPr>
              <w:t>■</w:t>
            </w:r>
            <w:r>
              <w:rPr>
                <w:rFonts w:ascii="Times New Roman" w:hAnsi="Times New Roman"/>
                <w:szCs w:val="24"/>
              </w:rPr>
              <w:t xml:space="preserve">       </w:t>
            </w:r>
            <w:r>
              <w:rPr>
                <w:rFonts w:ascii="Times New Roman" w:hAnsi="宋体"/>
                <w:szCs w:val="24"/>
              </w:rPr>
              <w:t>铁路</w:t>
            </w:r>
            <w:r>
              <w:rPr>
                <w:rFonts w:ascii="Times New Roman" w:hAnsi="Times New Roman"/>
                <w:szCs w:val="24"/>
              </w:rPr>
              <w:t xml:space="preserve"> □      </w:t>
            </w:r>
            <w:r>
              <w:rPr>
                <w:rFonts w:ascii="Times New Roman" w:hAnsi="宋体"/>
                <w:szCs w:val="24"/>
              </w:rPr>
              <w:t>水路</w:t>
            </w:r>
            <w:r>
              <w:rPr>
                <w:rFonts w:hint="eastAsia" w:ascii="新宋体" w:hAnsi="新宋体" w:eastAsia="新宋体"/>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0" w:hRule="atLeast"/>
        </w:trPr>
        <w:tc>
          <w:tcPr>
            <w:tcW w:w="9240" w:type="dxa"/>
          </w:tcPr>
          <w:p>
            <w:pPr>
              <w:rPr>
                <w:rFonts w:ascii="Times New Roman"/>
                <w:szCs w:val="24"/>
              </w:rPr>
            </w:pPr>
            <w:r>
              <w:rPr>
                <w:rFonts w:ascii="Times New Roman"/>
                <w:szCs w:val="24"/>
              </w:rPr>
              <w:t>运输路线文字描述：（写明途经省、市、县（区），附路线图）</w:t>
            </w:r>
          </w:p>
          <w:p/>
          <w:p>
            <w:pPr>
              <w:ind w:left="210" w:hanging="210" w:hangingChars="100"/>
            </w:pPr>
            <w:r>
              <w:rPr>
                <w:rFonts w:hint="eastAsia"/>
              </w:rPr>
              <w:t>上海振华重工（集团）股份有限公司长兴分公司-长兴交通运输管理站码头-上海浦东航道局码头振华港机泊位</w:t>
            </w:r>
            <w:r>
              <w:t>-</w:t>
            </w:r>
            <w:r>
              <w:rPr>
                <w:rFonts w:hint="eastAsia"/>
              </w:rPr>
              <w:t xml:space="preserve">上海中环-京沪高速 </w:t>
            </w:r>
            <w:r>
              <w:t>–</w:t>
            </w:r>
            <w:r>
              <w:rPr>
                <w:rFonts w:hint="eastAsia"/>
              </w:rPr>
              <w:t>苏州惠勤环保科技有限公司</w:t>
            </w:r>
            <w:r>
              <w:t xml:space="preserve"> </w:t>
            </w:r>
          </w:p>
          <w:p/>
          <w:p/>
          <w:p/>
          <w:p>
            <w:r>
              <w:drawing>
                <wp:anchor distT="0" distB="0" distL="0" distR="0" simplePos="0" relativeHeight="251660288" behindDoc="0" locked="0" layoutInCell="1" allowOverlap="1">
                  <wp:simplePos x="0" y="0"/>
                  <wp:positionH relativeFrom="column">
                    <wp:posOffset>0</wp:posOffset>
                  </wp:positionH>
                  <wp:positionV relativeFrom="paragraph">
                    <wp:posOffset>-929640</wp:posOffset>
                  </wp:positionV>
                  <wp:extent cx="5742940" cy="1219200"/>
                  <wp:effectExtent l="0" t="0" r="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7"/>
                          <a:stretch>
                            <a:fillRect/>
                          </a:stretch>
                        </pic:blipFill>
                        <pic:spPr>
                          <a:xfrm>
                            <a:off x="0" y="0"/>
                            <a:ext cx="5771440" cy="1225115"/>
                          </a:xfrm>
                          <a:prstGeom prst="rect">
                            <a:avLst/>
                          </a:prstGeom>
                        </pic:spPr>
                      </pic:pic>
                    </a:graphicData>
                  </a:graphic>
                </wp:anchor>
              </w:drawing>
            </w:r>
          </w:p>
          <w:p/>
          <w:p/>
          <w:p/>
          <w:p/>
          <w:p/>
        </w:tc>
      </w:tr>
    </w:tbl>
    <w:p>
      <w:pPr>
        <w:rPr>
          <w:rFonts w:ascii="Times New Roman" w:hAnsi="Times New Roman"/>
          <w:szCs w:val="24"/>
        </w:rPr>
        <w:sectPr>
          <w:pgSz w:w="11906" w:h="16838"/>
          <w:pgMar w:top="1440" w:right="1797" w:bottom="1440" w:left="1797" w:header="851" w:footer="992" w:gutter="0"/>
          <w:cols w:space="425" w:num="1"/>
          <w:docGrid w:type="lines" w:linePitch="286" w:charSpace="0"/>
        </w:sectPr>
      </w:pPr>
    </w:p>
    <w:tbl>
      <w:tblPr>
        <w:tblStyle w:val="7"/>
        <w:tblW w:w="9345" w:type="dxa"/>
        <w:tblInd w:w="-4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9345" w:type="dxa"/>
            <w:vAlign w:val="center"/>
          </w:tcPr>
          <w:p>
            <w:pPr>
              <w:jc w:val="left"/>
              <w:rPr>
                <w:rFonts w:ascii="Times New Roman" w:hAnsi="Times New Roman"/>
                <w:b/>
                <w:bCs/>
                <w:szCs w:val="24"/>
              </w:rPr>
            </w:pPr>
            <w:r>
              <w:rPr>
                <w:rFonts w:ascii="Times New Roman"/>
                <w:b/>
                <w:bCs/>
                <w:szCs w:val="24"/>
              </w:rPr>
              <w:t>表</w:t>
            </w:r>
            <w:r>
              <w:rPr>
                <w:rFonts w:ascii="Times New Roman" w:hAnsi="Times New Roman"/>
                <w:b/>
                <w:bCs/>
                <w:szCs w:val="24"/>
              </w:rPr>
              <w:t xml:space="preserve">3  </w:t>
            </w:r>
            <w:r>
              <w:rPr>
                <w:rFonts w:ascii="Times New Roman"/>
                <w:b/>
                <w:bCs/>
                <w:szCs w:val="24"/>
              </w:rPr>
              <w:t>转移的污染防治、安全防护和应急措施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9" w:hRule="atLeast"/>
        </w:trPr>
        <w:tc>
          <w:tcPr>
            <w:tcW w:w="9345" w:type="dxa"/>
          </w:tcPr>
          <w:p>
            <w:pPr>
              <w:numPr>
                <w:ilvl w:val="0"/>
                <w:numId w:val="1"/>
              </w:numPr>
              <w:spacing w:line="240" w:lineRule="auto"/>
              <w:rPr>
                <w:rFonts w:ascii="Times New Roman" w:hAnsi="Times New Roman"/>
                <w:bCs/>
                <w:szCs w:val="24"/>
              </w:rPr>
            </w:pPr>
            <w:r>
              <w:rPr>
                <w:rFonts w:ascii="Times New Roman"/>
                <w:bCs/>
                <w:szCs w:val="24"/>
              </w:rPr>
              <w:t>运输过程中的污染防治措施以及按照要求配备的相应污染防治设备</w:t>
            </w:r>
          </w:p>
          <w:p>
            <w:pPr>
              <w:spacing w:line="240" w:lineRule="auto"/>
              <w:rPr>
                <w:rFonts w:ascii="Times New Roman" w:hAnsi="Times New Roman"/>
                <w:bCs/>
                <w:szCs w:val="24"/>
              </w:rPr>
            </w:pPr>
            <w:r>
              <w:rPr>
                <w:rFonts w:hint="eastAsia" w:ascii="Times New Roman" w:hAnsi="Times New Roman"/>
                <w:bCs/>
                <w:szCs w:val="24"/>
              </w:rPr>
              <w:t>1)运输前，根据本次运输废物的危险特性，在技术人员的指导下，领取人员防护装备和随车应急物资；</w:t>
            </w:r>
          </w:p>
          <w:p>
            <w:pPr>
              <w:spacing w:line="240" w:lineRule="auto"/>
              <w:rPr>
                <w:rFonts w:ascii="Times New Roman" w:hAnsi="Times New Roman"/>
                <w:bCs/>
                <w:szCs w:val="24"/>
              </w:rPr>
            </w:pPr>
            <w:r>
              <w:rPr>
                <w:rFonts w:hint="eastAsia" w:ascii="Times New Roman" w:hAnsi="Times New Roman"/>
                <w:bCs/>
                <w:szCs w:val="24"/>
              </w:rPr>
              <w:t>2)对运输危险废物的设施和设备加强管理和维护，保证其正常运行和使用；</w:t>
            </w:r>
          </w:p>
          <w:p>
            <w:pPr>
              <w:spacing w:line="240" w:lineRule="auto"/>
              <w:rPr>
                <w:rFonts w:ascii="Times New Roman" w:hAnsi="Times New Roman"/>
                <w:bCs/>
                <w:szCs w:val="24"/>
              </w:rPr>
            </w:pPr>
            <w:r>
              <w:rPr>
                <w:rFonts w:hint="eastAsia" w:ascii="Times New Roman" w:hAnsi="Times New Roman"/>
                <w:bCs/>
                <w:szCs w:val="24"/>
              </w:rPr>
              <w:t>3)不能混合运输性质不相容而又未经安全性处置的危险废物；</w:t>
            </w:r>
          </w:p>
          <w:p>
            <w:pPr>
              <w:spacing w:line="240" w:lineRule="auto"/>
              <w:rPr>
                <w:rFonts w:ascii="Times New Roman" w:hAnsi="Times New Roman"/>
                <w:bCs/>
                <w:szCs w:val="24"/>
              </w:rPr>
            </w:pPr>
            <w:r>
              <w:rPr>
                <w:rFonts w:hint="eastAsia" w:ascii="Times New Roman" w:hAnsi="Times New Roman"/>
                <w:bCs/>
                <w:szCs w:val="24"/>
              </w:rPr>
              <w:t>4)转移危险废物时，必须按照规定填写危险废物转移联单，并向危险废物移出地和接受地的县级以</w:t>
            </w:r>
          </w:p>
          <w:p>
            <w:pPr>
              <w:spacing w:line="240" w:lineRule="auto"/>
              <w:rPr>
                <w:rFonts w:ascii="Times New Roman" w:hAnsi="Times New Roman"/>
                <w:bCs/>
                <w:szCs w:val="24"/>
              </w:rPr>
            </w:pPr>
            <w:r>
              <w:rPr>
                <w:rFonts w:hint="eastAsia" w:ascii="Times New Roman" w:hAnsi="Times New Roman"/>
                <w:bCs/>
                <w:szCs w:val="24"/>
              </w:rPr>
              <w:t>上地方人民政府环境保护行政主管部门报告；</w:t>
            </w:r>
          </w:p>
          <w:p>
            <w:pPr>
              <w:spacing w:line="240" w:lineRule="auto"/>
              <w:rPr>
                <w:rFonts w:ascii="Times New Roman" w:hAnsi="Times New Roman"/>
                <w:bCs/>
                <w:szCs w:val="24"/>
              </w:rPr>
            </w:pPr>
            <w:r>
              <w:rPr>
                <w:rFonts w:hint="eastAsia" w:ascii="Times New Roman" w:hAnsi="Times New Roman"/>
                <w:bCs/>
                <w:szCs w:val="24"/>
              </w:rPr>
              <w:t>5)禁止将危险废物与旅客在同一运输工具上载运；</w:t>
            </w:r>
          </w:p>
          <w:p>
            <w:pPr>
              <w:spacing w:line="240" w:lineRule="auto"/>
              <w:rPr>
                <w:rFonts w:ascii="Times New Roman" w:hAnsi="Times New Roman"/>
                <w:bCs/>
                <w:szCs w:val="24"/>
              </w:rPr>
            </w:pPr>
            <w:r>
              <w:rPr>
                <w:rFonts w:hint="eastAsia" w:ascii="Times New Roman" w:hAnsi="Times New Roman"/>
                <w:bCs/>
                <w:szCs w:val="24"/>
              </w:rPr>
              <w:t>6)运输危险废物的设施和设备在转作他用时，必须经过消除污染的处理，方可使用；</w:t>
            </w:r>
          </w:p>
          <w:p>
            <w:pPr>
              <w:spacing w:line="240" w:lineRule="auto"/>
              <w:rPr>
                <w:rFonts w:ascii="Times New Roman" w:hAnsi="Times New Roman"/>
                <w:bCs/>
                <w:szCs w:val="24"/>
              </w:rPr>
            </w:pPr>
            <w:r>
              <w:rPr>
                <w:rFonts w:hint="eastAsia" w:ascii="Times New Roman" w:hAnsi="Times New Roman"/>
                <w:bCs/>
                <w:szCs w:val="24"/>
              </w:rPr>
              <w:t>7)运输危险废物的人员，应当接受专业培训:经考核合格后，方可从事运输危险废物的工作；</w:t>
            </w:r>
          </w:p>
          <w:p>
            <w:pPr>
              <w:spacing w:line="240" w:lineRule="auto"/>
              <w:rPr>
                <w:rFonts w:ascii="Times New Roman" w:hAnsi="Times New Roman"/>
                <w:bCs/>
                <w:szCs w:val="24"/>
              </w:rPr>
            </w:pPr>
            <w:r>
              <w:rPr>
                <w:rFonts w:hint="eastAsia" w:ascii="Times New Roman" w:hAnsi="Times New Roman"/>
                <w:bCs/>
                <w:szCs w:val="24"/>
              </w:rPr>
              <w:t>8)运输时，发生突发性事故必须立即采取措施消除或者减轻对环境的污染危害，及时通报给附近的</w:t>
            </w:r>
          </w:p>
          <w:p>
            <w:pPr>
              <w:spacing w:line="240" w:lineRule="auto"/>
              <w:rPr>
                <w:rFonts w:ascii="Times New Roman" w:hAnsi="Times New Roman"/>
                <w:bCs/>
                <w:szCs w:val="24"/>
              </w:rPr>
            </w:pPr>
            <w:r>
              <w:rPr>
                <w:rFonts w:hint="eastAsia" w:ascii="Times New Roman" w:hAnsi="Times New Roman"/>
                <w:bCs/>
                <w:szCs w:val="24"/>
              </w:rPr>
              <w:t>单位和居民，并向事故发生地县级以上人民政府环境保护行政主管部门和有关部门报告，接受调</w:t>
            </w:r>
          </w:p>
          <w:p>
            <w:pPr>
              <w:spacing w:line="240" w:lineRule="auto"/>
              <w:rPr>
                <w:rFonts w:ascii="Times New Roman" w:hAnsi="Times New Roman"/>
                <w:bCs/>
                <w:szCs w:val="24"/>
              </w:rPr>
            </w:pPr>
            <w:r>
              <w:rPr>
                <w:rFonts w:hint="eastAsia" w:ascii="Times New Roman" w:hAnsi="Times New Roman"/>
                <w:bCs/>
                <w:szCs w:val="24"/>
              </w:rPr>
              <w:t>查处理；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0" w:hRule="atLeast"/>
        </w:trPr>
        <w:tc>
          <w:tcPr>
            <w:tcW w:w="9345" w:type="dxa"/>
          </w:tcPr>
          <w:p>
            <w:pPr>
              <w:pStyle w:val="12"/>
              <w:numPr>
                <w:ilvl w:val="0"/>
                <w:numId w:val="1"/>
              </w:numPr>
              <w:ind w:firstLineChars="0"/>
              <w:rPr>
                <w:rFonts w:ascii="Times New Roman"/>
                <w:bCs/>
                <w:szCs w:val="24"/>
              </w:rPr>
            </w:pPr>
            <w:r>
              <w:rPr>
                <w:rFonts w:ascii="Times New Roman"/>
                <w:bCs/>
                <w:szCs w:val="24"/>
              </w:rPr>
              <w:t>运输过程中的安全防护措施以及按照要求配备的相应安全防护设备</w:t>
            </w:r>
          </w:p>
          <w:p>
            <w:pPr>
              <w:rPr>
                <w:rFonts w:ascii="Times New Roman"/>
                <w:bCs/>
                <w:szCs w:val="24"/>
              </w:rPr>
            </w:pPr>
            <w:r>
              <w:rPr>
                <w:rFonts w:hint="eastAsia" w:ascii="Times New Roman"/>
                <w:bCs/>
                <w:szCs w:val="24"/>
              </w:rPr>
              <w:t>1)车辆进入危险货物装卸作业区，应按该区有关安全规定驶入装卸货区；</w:t>
            </w:r>
          </w:p>
          <w:p>
            <w:pPr>
              <w:rPr>
                <w:rFonts w:ascii="Times New Roman"/>
                <w:bCs/>
                <w:szCs w:val="24"/>
              </w:rPr>
            </w:pPr>
            <w:r>
              <w:rPr>
                <w:rFonts w:hint="eastAsia" w:ascii="Times New Roman"/>
                <w:bCs/>
                <w:szCs w:val="24"/>
              </w:rPr>
              <w:t>2)装卸过程中，车辆的发动机必须熄灭并切断总电源；</w:t>
            </w:r>
          </w:p>
          <w:p>
            <w:pPr>
              <w:rPr>
                <w:rFonts w:ascii="Times New Roman"/>
                <w:bCs/>
                <w:szCs w:val="24"/>
              </w:rPr>
            </w:pPr>
            <w:r>
              <w:rPr>
                <w:rFonts w:ascii="Times New Roman"/>
                <w:bCs/>
                <w:szCs w:val="24"/>
              </w:rPr>
              <w:t>3</w:t>
            </w:r>
            <w:r>
              <w:rPr>
                <w:rFonts w:hint="eastAsia" w:ascii="Times New Roman"/>
                <w:bCs/>
                <w:szCs w:val="24"/>
              </w:rPr>
              <w:t>)危险货物运达卸货地点后，因故不能及时卸货，在待卸期间，行车人员应同押运人员负责看管；</w:t>
            </w:r>
          </w:p>
          <w:p>
            <w:pPr>
              <w:rPr>
                <w:rFonts w:ascii="Times New Roman"/>
                <w:bCs/>
                <w:szCs w:val="24"/>
              </w:rPr>
            </w:pPr>
            <w:r>
              <w:rPr>
                <w:rFonts w:ascii="Times New Roman"/>
                <w:bCs/>
                <w:szCs w:val="24"/>
              </w:rPr>
              <w:t>4</w:t>
            </w:r>
            <w:r>
              <w:rPr>
                <w:rFonts w:hint="eastAsia" w:ascii="Times New Roman"/>
                <w:bCs/>
                <w:szCs w:val="24"/>
              </w:rPr>
              <w:t>)驾驶人员必须严格遵守《中华人民共和国道路交通安全</w:t>
            </w:r>
            <w:r>
              <w:rPr>
                <w:rFonts w:hint="eastAsia" w:ascii="Times New Roman"/>
                <w:bCs/>
                <w:szCs w:val="24"/>
                <w:lang w:val="en-US" w:eastAsia="zh-CN"/>
              </w:rPr>
              <w:t>法</w:t>
            </w:r>
            <w:bookmarkStart w:id="0" w:name="_GoBack"/>
            <w:bookmarkEnd w:id="0"/>
            <w:r>
              <w:rPr>
                <w:rFonts w:hint="eastAsia" w:ascii="Times New Roman"/>
                <w:bCs/>
                <w:szCs w:val="24"/>
              </w:rPr>
              <w:t>实施条例》的有关规定；</w:t>
            </w:r>
          </w:p>
          <w:p>
            <w:pPr>
              <w:rPr>
                <w:rFonts w:ascii="Times New Roman"/>
                <w:bCs/>
                <w:szCs w:val="24"/>
              </w:rPr>
            </w:pPr>
            <w:r>
              <w:rPr>
                <w:rFonts w:ascii="Times New Roman"/>
                <w:bCs/>
                <w:szCs w:val="24"/>
              </w:rPr>
              <w:t>5</w:t>
            </w:r>
            <w:r>
              <w:rPr>
                <w:rFonts w:hint="eastAsia" w:ascii="Times New Roman"/>
                <w:bCs/>
                <w:szCs w:val="24"/>
              </w:rPr>
              <w:t>)运输过程中，必须在指定位置设置危险品信号标志；</w:t>
            </w:r>
          </w:p>
          <w:p>
            <w:pPr>
              <w:rPr>
                <w:rFonts w:ascii="Times New Roman"/>
                <w:bCs/>
                <w:szCs w:val="24"/>
              </w:rPr>
            </w:pPr>
            <w:r>
              <w:rPr>
                <w:rFonts w:ascii="Times New Roman"/>
                <w:bCs/>
                <w:szCs w:val="24"/>
              </w:rPr>
              <w:t>6</w:t>
            </w:r>
            <w:r>
              <w:rPr>
                <w:rFonts w:hint="eastAsia" w:ascii="Times New Roman"/>
                <w:bCs/>
                <w:szCs w:val="24"/>
              </w:rPr>
              <w:t>)运输过程中遇天气变化，应根据货物特性及时采取相应防护措施；</w:t>
            </w:r>
          </w:p>
          <w:p>
            <w:pPr>
              <w:rPr>
                <w:rFonts w:ascii="Times New Roman"/>
                <w:bCs/>
                <w:szCs w:val="24"/>
              </w:rPr>
            </w:pPr>
            <w:r>
              <w:rPr>
                <w:rFonts w:ascii="Times New Roman"/>
                <w:bCs/>
                <w:szCs w:val="24"/>
              </w:rPr>
              <w:t>7</w:t>
            </w:r>
            <w:r>
              <w:rPr>
                <w:rFonts w:hint="eastAsia" w:ascii="Times New Roman"/>
                <w:bCs/>
                <w:szCs w:val="24"/>
              </w:rPr>
              <w:t>)车辆发生故障需修车时，应选择安全地点；</w:t>
            </w:r>
          </w:p>
          <w:p>
            <w:pPr>
              <w:rPr>
                <w:rFonts w:ascii="Times New Roman"/>
                <w:bCs/>
                <w:szCs w:val="24"/>
              </w:rPr>
            </w:pPr>
            <w:r>
              <w:rPr>
                <w:rFonts w:ascii="Times New Roman"/>
                <w:bCs/>
                <w:szCs w:val="24"/>
              </w:rPr>
              <w:t>8</w:t>
            </w:r>
            <w:r>
              <w:rPr>
                <w:rFonts w:hint="eastAsia" w:ascii="Times New Roman"/>
                <w:bCs/>
                <w:szCs w:val="24"/>
              </w:rPr>
              <w:t>)随车携带桶、拖把、铲、照明灯、药品、防毒面具等应急工具或物品；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5" w:hRule="atLeast"/>
        </w:trPr>
        <w:tc>
          <w:tcPr>
            <w:tcW w:w="9345" w:type="dxa"/>
          </w:tcPr>
          <w:p>
            <w:pPr>
              <w:rPr>
                <w:rFonts w:ascii="Times New Roman" w:hAnsi="Times New Roman"/>
                <w:bCs/>
                <w:szCs w:val="24"/>
              </w:rPr>
            </w:pPr>
            <w:r>
              <w:rPr>
                <w:rFonts w:ascii="Times New Roman" w:hAnsi="Times New Roman"/>
                <w:bCs/>
                <w:szCs w:val="24"/>
              </w:rPr>
              <w:t>3</w:t>
            </w:r>
            <w:r>
              <w:rPr>
                <w:rFonts w:ascii="Times New Roman"/>
                <w:bCs/>
                <w:szCs w:val="24"/>
              </w:rPr>
              <w:t>、运输过程中的应急预案以及按照要求配备的相应应急设备</w:t>
            </w:r>
          </w:p>
          <w:p>
            <w:pPr>
              <w:rPr>
                <w:rFonts w:ascii="Times New Roman" w:hAnsi="Times New Roman"/>
                <w:szCs w:val="24"/>
              </w:rPr>
            </w:pPr>
            <w:r>
              <w:rPr>
                <w:rFonts w:hint="eastAsia" w:ascii="Times New Roman" w:hAnsi="Times New Roman"/>
                <w:szCs w:val="24"/>
              </w:rPr>
              <w:t>1)当意外事故发生时，不论在任何情况下，现场押运人员、驾驶人员应立即采取相应措施进行救援，防止事故扩大、恶化；</w:t>
            </w:r>
          </w:p>
          <w:p>
            <w:pPr>
              <w:rPr>
                <w:rFonts w:ascii="Times New Roman" w:hAnsi="Times New Roman"/>
                <w:szCs w:val="24"/>
              </w:rPr>
            </w:pPr>
            <w:r>
              <w:rPr>
                <w:rFonts w:hint="eastAsia" w:ascii="Times New Roman" w:hAnsi="Times New Roman"/>
                <w:szCs w:val="24"/>
              </w:rPr>
              <w:t>2)现场人员如发现泄漏或火灾事故由进一步扩大时，应立即通知相关部门负责并拨打119火警电话，必要时立即通知环保部门12369或医院120；</w:t>
            </w:r>
          </w:p>
          <w:p>
            <w:pPr>
              <w:rPr>
                <w:rFonts w:ascii="Times New Roman" w:hAnsi="Times New Roman"/>
                <w:szCs w:val="24"/>
              </w:rPr>
            </w:pPr>
            <w:r>
              <w:rPr>
                <w:rFonts w:hint="eastAsia" w:ascii="Times New Roman" w:hAnsi="Times New Roman"/>
                <w:szCs w:val="24"/>
              </w:rPr>
              <w:t>3)在运输过程中药严格执行《易燃、易爆危险化学品运输管理规定》；</w:t>
            </w:r>
          </w:p>
          <w:p>
            <w:pPr>
              <w:rPr>
                <w:rFonts w:ascii="Times New Roman" w:hAnsi="Times New Roman"/>
                <w:color w:val="FF0000"/>
                <w:szCs w:val="24"/>
              </w:rPr>
            </w:pPr>
          </w:p>
          <w:p>
            <w:pPr>
              <w:rPr>
                <w:rFonts w:ascii="Times New Roman" w:hAnsi="Times New Roman"/>
                <w:color w:val="FF0000"/>
                <w:szCs w:val="24"/>
              </w:rPr>
            </w:pPr>
          </w:p>
          <w:p>
            <w:pPr>
              <w:rPr>
                <w:rFonts w:ascii="Times New Roman" w:hAnsi="Times New Roman"/>
                <w:color w:val="FF0000"/>
                <w:szCs w:val="24"/>
              </w:rPr>
            </w:pPr>
          </w:p>
          <w:p>
            <w:pPr>
              <w:rPr>
                <w:rFonts w:ascii="Times New Roman" w:hAnsi="Times New Roman"/>
                <w:color w:val="FF0000"/>
                <w:szCs w:val="24"/>
              </w:rPr>
            </w:pPr>
          </w:p>
          <w:p>
            <w:pPr>
              <w:rPr>
                <w:rFonts w:ascii="Times New Roman" w:hAnsi="Times New Roman"/>
                <w:color w:val="FF0000"/>
                <w:szCs w:val="24"/>
              </w:rPr>
            </w:pPr>
          </w:p>
          <w:p>
            <w:pPr>
              <w:rPr>
                <w:rFonts w:ascii="Times New Roman" w:hAnsi="Times New Roman"/>
                <w:color w:val="FF0000"/>
                <w:szCs w:val="24"/>
              </w:rPr>
            </w:pPr>
          </w:p>
          <w:p>
            <w:pPr>
              <w:rPr>
                <w:rFonts w:ascii="Times New Roman" w:hAnsi="Times New Roman"/>
                <w:color w:val="FF0000"/>
                <w:szCs w:val="24"/>
              </w:rPr>
            </w:pPr>
          </w:p>
          <w:p>
            <w:pPr>
              <w:rPr>
                <w:rFonts w:ascii="Times New Roman" w:hAnsi="Times New Roman"/>
                <w:color w:val="FF0000"/>
                <w:szCs w:val="24"/>
              </w:rPr>
            </w:pPr>
          </w:p>
          <w:p>
            <w:pPr>
              <w:rPr>
                <w:rFonts w:ascii="Times New Roman" w:hAnsi="Times New Roman"/>
                <w:color w:val="FF0000"/>
                <w:szCs w:val="24"/>
              </w:rPr>
            </w:pPr>
          </w:p>
          <w:p>
            <w:pPr>
              <w:rPr>
                <w:rFonts w:ascii="Times New Roman" w:hAnsi="Times New Roman"/>
                <w:color w:val="FF0000"/>
                <w:szCs w:val="24"/>
              </w:rPr>
            </w:pPr>
          </w:p>
          <w:p>
            <w:pPr>
              <w:rPr>
                <w:rFonts w:ascii="Times New Roman" w:hAnsi="Times New Roman"/>
                <w:color w:val="FF0000"/>
                <w:szCs w:val="24"/>
              </w:rPr>
            </w:pPr>
          </w:p>
          <w:p>
            <w:pPr>
              <w:rPr>
                <w:rFonts w:ascii="Times New Roman" w:hAnsi="Times New Roman"/>
                <w:color w:val="FF0000"/>
                <w:szCs w:val="24"/>
              </w:rPr>
            </w:pPr>
          </w:p>
          <w:p>
            <w:pPr>
              <w:rPr>
                <w:rFonts w:ascii="Times New Roman" w:hAnsi="Times New Roman"/>
                <w:color w:val="FF0000"/>
                <w:szCs w:val="24"/>
              </w:rPr>
            </w:pPr>
          </w:p>
          <w:p>
            <w:pPr>
              <w:rPr>
                <w:rFonts w:ascii="Times New Roman" w:hAnsi="Times New Roman"/>
                <w:color w:val="FF0000"/>
                <w:szCs w:val="24"/>
              </w:rPr>
            </w:pPr>
          </w:p>
          <w:p>
            <w:pPr>
              <w:rPr>
                <w:rFonts w:ascii="Times New Roman" w:hAnsi="Times New Roman"/>
                <w:color w:val="FF0000"/>
                <w:szCs w:val="24"/>
              </w:rPr>
            </w:pPr>
          </w:p>
          <w:p>
            <w:pPr>
              <w:rPr>
                <w:rFonts w:ascii="Times New Roman" w:hAnsi="Times New Roman"/>
                <w:color w:val="FF0000"/>
                <w:szCs w:val="24"/>
              </w:rPr>
            </w:pPr>
          </w:p>
          <w:p>
            <w:pPr>
              <w:rPr>
                <w:rFonts w:ascii="Times New Roman" w:hAnsi="Times New Roman"/>
                <w:szCs w:val="24"/>
              </w:rPr>
            </w:pPr>
          </w:p>
        </w:tc>
      </w:tr>
    </w:tbl>
    <w:p>
      <w:pPr>
        <w:rPr>
          <w:rFonts w:ascii="Times New Roman" w:eastAsia="黑体"/>
          <w:sz w:val="28"/>
          <w:szCs w:val="28"/>
        </w:rPr>
      </w:pPr>
    </w:p>
    <w:p>
      <w:pPr>
        <w:rPr>
          <w:rFonts w:ascii="Times New Roman" w:hAnsi="Times New Roman" w:eastAsia="黑体"/>
          <w:sz w:val="28"/>
          <w:szCs w:val="28"/>
        </w:rPr>
      </w:pPr>
      <w:r>
        <w:rPr>
          <w:rFonts w:ascii="Times New Roman" w:eastAsia="黑体"/>
          <w:sz w:val="28"/>
          <w:szCs w:val="28"/>
        </w:rPr>
        <w:t>第三部分</w:t>
      </w:r>
      <w:r>
        <w:rPr>
          <w:rFonts w:ascii="Times New Roman" w:hAnsi="Times New Roman" w:eastAsia="黑体"/>
          <w:sz w:val="28"/>
          <w:szCs w:val="28"/>
        </w:rPr>
        <w:t xml:space="preserve">   </w:t>
      </w:r>
      <w:r>
        <w:rPr>
          <w:rFonts w:ascii="Times New Roman" w:eastAsia="黑体"/>
          <w:sz w:val="28"/>
          <w:szCs w:val="28"/>
        </w:rPr>
        <w:t>废物处理处置情况</w:t>
      </w:r>
    </w:p>
    <w:tbl>
      <w:tblPr>
        <w:tblStyle w:val="7"/>
        <w:tblW w:w="9345" w:type="dxa"/>
        <w:tblInd w:w="-4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45"/>
        <w:gridCol w:w="4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trPr>
        <w:tc>
          <w:tcPr>
            <w:tcW w:w="9345" w:type="dxa"/>
            <w:gridSpan w:val="2"/>
            <w:vAlign w:val="center"/>
          </w:tcPr>
          <w:p>
            <w:pPr>
              <w:rPr>
                <w:rFonts w:ascii="Times New Roman" w:hAnsi="Times New Roman"/>
                <w:b/>
                <w:bCs/>
              </w:rPr>
            </w:pPr>
            <w:r>
              <w:rPr>
                <w:rFonts w:ascii="Times New Roman"/>
                <w:b/>
                <w:bCs/>
              </w:rPr>
              <w:t>表</w:t>
            </w:r>
            <w:r>
              <w:rPr>
                <w:rFonts w:ascii="Times New Roman" w:hAnsi="Times New Roman"/>
                <w:b/>
                <w:bCs/>
              </w:rPr>
              <w:t xml:space="preserve">1   </w:t>
            </w:r>
            <w:r>
              <w:rPr>
                <w:rFonts w:ascii="Times New Roman"/>
                <w:b/>
                <w:bCs/>
              </w:rPr>
              <w:t>接受单位基本情况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trPr>
        <w:tc>
          <w:tcPr>
            <w:tcW w:w="9345" w:type="dxa"/>
            <w:gridSpan w:val="2"/>
            <w:vAlign w:val="center"/>
          </w:tcPr>
          <w:p>
            <w:pPr>
              <w:rPr>
                <w:rFonts w:ascii="Times New Roman" w:hAnsi="Times New Roman"/>
              </w:rPr>
            </w:pPr>
            <w:r>
              <w:rPr>
                <w:rFonts w:ascii="Times New Roman"/>
              </w:rPr>
              <w:t>单位名称：</w:t>
            </w:r>
            <w:r>
              <w:rPr>
                <w:rFonts w:hint="eastAsia" w:ascii="Times New Roman"/>
              </w:rPr>
              <w:t>苏州惠勤环保科技有限公司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5145" w:type="dxa"/>
            <w:vAlign w:val="center"/>
          </w:tcPr>
          <w:p>
            <w:pPr>
              <w:rPr>
                <w:rFonts w:ascii="Times New Roman" w:hAnsi="Times New Roman"/>
              </w:rPr>
            </w:pPr>
            <w:r>
              <w:rPr>
                <w:rFonts w:ascii="Times New Roman"/>
              </w:rPr>
              <w:t>危废经营许可证编号：</w:t>
            </w:r>
            <w:r>
              <w:rPr>
                <w:rFonts w:hint="eastAsia" w:ascii="Times New Roman"/>
              </w:rPr>
              <w:t>JSSZ0506OOD117</w:t>
            </w:r>
          </w:p>
        </w:tc>
        <w:tc>
          <w:tcPr>
            <w:tcW w:w="4200" w:type="dxa"/>
            <w:vAlign w:val="center"/>
          </w:tcPr>
          <w:p>
            <w:pPr>
              <w:numPr>
                <w:ilvl w:val="0"/>
                <w:numId w:val="1"/>
              </w:numPr>
              <w:rPr>
                <w:rFonts w:ascii="Times New Roman" w:hAnsi="Times New Roman"/>
              </w:rPr>
            </w:pPr>
            <w:r>
              <w:rPr>
                <w:rFonts w:ascii="Times New Roman"/>
              </w:rPr>
              <w:t>有效期：202</w:t>
            </w:r>
            <w:r>
              <w:rPr>
                <w:rFonts w:hint="eastAsia" w:ascii="Times New Roman"/>
              </w:rPr>
              <w:t>3年7月24日至</w:t>
            </w:r>
            <w:r>
              <w:rPr>
                <w:rFonts w:ascii="Times New Roman"/>
              </w:rPr>
              <w:t>202</w:t>
            </w:r>
            <w:r>
              <w:rPr>
                <w:rFonts w:hint="eastAsia" w:ascii="Times New Roman"/>
              </w:rPr>
              <w:t>4年7月23日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9" w:hRule="atLeast"/>
        </w:trPr>
        <w:tc>
          <w:tcPr>
            <w:tcW w:w="9345" w:type="dxa"/>
            <w:gridSpan w:val="2"/>
          </w:tcPr>
          <w:p>
            <w:pPr>
              <w:rPr>
                <w:rFonts w:ascii="Times New Roman"/>
              </w:rPr>
            </w:pPr>
            <w:r>
              <w:rPr>
                <w:rFonts w:ascii="Times New Roman"/>
              </w:rPr>
              <w:t>经营核准内容（废物名称、类别、数量）：</w:t>
            </w:r>
          </w:p>
          <w:p>
            <w:pPr>
              <w:rPr>
                <w:rFonts w:ascii="Times New Roman"/>
              </w:rPr>
            </w:pPr>
            <w:r>
              <w:rPr>
                <w:rFonts w:hint="eastAsia" w:ascii="Times New Roman"/>
              </w:rPr>
              <w:t>处置、利用废活性炭限HW05木材防剂废物(266-001-05)、HW06 废有机溶剂与含有机溶剂废物(900-405-06)、HW12染料、涂料废物(264-011-12、900-250-12、900-251-12、900-252-12、900-253-12、900-254-12）、HW13有机树脂废物(265-103-13）、HW39含酚废物(261-071-39)、HW49 其他废物(900-039-49、900-041-49)9600 吨/年#</w:t>
            </w: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tc>
      </w:tr>
    </w:tbl>
    <w:p>
      <w:pPr>
        <w:rPr>
          <w:rFonts w:ascii="Times New Roman" w:hAnsi="Times New Roman"/>
        </w:rPr>
      </w:pPr>
    </w:p>
    <w:tbl>
      <w:tblPr>
        <w:tblStyle w:val="7"/>
        <w:tblW w:w="9344" w:type="dxa"/>
        <w:tblInd w:w="-4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9344" w:type="dxa"/>
            <w:vAlign w:val="center"/>
          </w:tcPr>
          <w:p>
            <w:pPr>
              <w:rPr>
                <w:rFonts w:ascii="Times New Roman" w:hAnsi="Times New Roman"/>
                <w:b/>
                <w:bCs/>
              </w:rPr>
            </w:pPr>
            <w:r>
              <w:rPr>
                <w:rFonts w:ascii="Times New Roman"/>
                <w:b/>
                <w:bCs/>
              </w:rPr>
              <w:t>表</w:t>
            </w:r>
            <w:r>
              <w:rPr>
                <w:rFonts w:ascii="Times New Roman" w:hAnsi="Times New Roman"/>
                <w:b/>
                <w:bCs/>
              </w:rPr>
              <w:t xml:space="preserve">2   </w:t>
            </w:r>
            <w:r>
              <w:rPr>
                <w:rFonts w:ascii="Times New Roman"/>
                <w:b/>
                <w:bCs/>
              </w:rPr>
              <w:t>与接收废物相关的处理处置情况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9" w:hRule="atLeast"/>
        </w:trPr>
        <w:tc>
          <w:tcPr>
            <w:tcW w:w="9344" w:type="dxa"/>
          </w:tcPr>
          <w:p>
            <w:pPr>
              <w:spacing w:line="300" w:lineRule="exact"/>
              <w:rPr>
                <w:rFonts w:ascii="Times New Roman"/>
                <w:szCs w:val="24"/>
              </w:rPr>
            </w:pPr>
            <w:r>
              <w:rPr>
                <w:rFonts w:ascii="Times New Roman"/>
                <w:szCs w:val="24"/>
              </w:rPr>
              <w:t>文字描述及工艺流程图</w:t>
            </w:r>
          </w:p>
          <w:p>
            <w:pPr>
              <w:spacing w:line="300" w:lineRule="exact"/>
              <w:rPr>
                <w:rFonts w:ascii="Times New Roman"/>
                <w:szCs w:val="24"/>
              </w:rPr>
            </w:pPr>
            <w:r>
              <w:rPr>
                <w:rFonts w:hint="eastAsia" w:ascii="Times New Roman"/>
                <w:szCs w:val="24"/>
              </w:rPr>
              <w:t>工艺说明：</w:t>
            </w:r>
          </w:p>
          <w:p>
            <w:pPr>
              <w:spacing w:line="300" w:lineRule="exact"/>
              <w:ind w:firstLine="420" w:firstLineChars="200"/>
              <w:rPr>
                <w:rFonts w:ascii="Times New Roman"/>
                <w:szCs w:val="24"/>
              </w:rPr>
            </w:pPr>
            <w:r>
              <w:rPr>
                <w:rFonts w:hint="eastAsia" w:ascii="Times New Roman"/>
                <w:szCs w:val="24"/>
              </w:rPr>
              <w:t>废活性炭再生采用加热再生法，通过回转窑加热的方式将失去吸附性能的活性炭进行再活化。原理是在回转窑前部的干燥段加热到2</w:t>
            </w:r>
            <w:r>
              <w:rPr>
                <w:rFonts w:ascii="Times New Roman"/>
                <w:szCs w:val="24"/>
              </w:rPr>
              <w:t>00</w:t>
            </w:r>
            <w:r>
              <w:rPr>
                <w:rFonts w:hint="eastAsia" w:ascii="Times New Roman"/>
                <w:szCs w:val="24"/>
              </w:rPr>
              <w:t>-</w:t>
            </w:r>
            <w:r>
              <w:rPr>
                <w:rFonts w:ascii="Times New Roman"/>
                <w:szCs w:val="24"/>
              </w:rPr>
              <w:t>300</w:t>
            </w:r>
            <w:r>
              <w:rPr>
                <w:rFonts w:hint="eastAsia" w:ascii="Times New Roman"/>
                <w:szCs w:val="24"/>
              </w:rPr>
              <w:t>摄氏度，被吸附的部分易挥发性有机物在高温下脱附转化为废气挥发出去；在回转窑中段温度继续提高到5</w:t>
            </w:r>
            <w:r>
              <w:rPr>
                <w:rFonts w:ascii="Times New Roman"/>
                <w:szCs w:val="24"/>
              </w:rPr>
              <w:t>00</w:t>
            </w:r>
            <w:r>
              <w:rPr>
                <w:rFonts w:hint="eastAsia" w:ascii="Times New Roman"/>
                <w:szCs w:val="24"/>
              </w:rPr>
              <w:t>-</w:t>
            </w:r>
            <w:r>
              <w:rPr>
                <w:rFonts w:ascii="Times New Roman"/>
                <w:szCs w:val="24"/>
              </w:rPr>
              <w:t>600</w:t>
            </w:r>
            <w:r>
              <w:rPr>
                <w:rFonts w:hint="eastAsia" w:ascii="Times New Roman"/>
                <w:szCs w:val="24"/>
              </w:rPr>
              <w:t>摄氏度，剩余的有机物在更高温度下热解，最终在回转窑后段的再生活化段温度提高到8</w:t>
            </w:r>
            <w:r>
              <w:rPr>
                <w:rFonts w:ascii="Times New Roman"/>
                <w:szCs w:val="24"/>
              </w:rPr>
              <w:t>00</w:t>
            </w:r>
            <w:r>
              <w:rPr>
                <w:rFonts w:hint="eastAsia" w:ascii="Times New Roman"/>
                <w:szCs w:val="24"/>
              </w:rPr>
              <w:t>-</w:t>
            </w:r>
            <w:r>
              <w:rPr>
                <w:rFonts w:ascii="Times New Roman"/>
                <w:szCs w:val="24"/>
              </w:rPr>
              <w:t>950</w:t>
            </w:r>
            <w:r>
              <w:rPr>
                <w:rFonts w:hint="eastAsia" w:ascii="Times New Roman"/>
                <w:szCs w:val="24"/>
              </w:rPr>
              <w:t>摄氏度，在定量的氧化剂（水蒸气或少量氧气）存在下进行再生，活性炭恢复原有孔隙并制造新孔，达到废活性炭再生的目的恢复活性炭性能。回转窑内需严格控制氧含量和负压避免活性炭氧化。经过再生的活性炭再经过冷却转炉进行冷却后进行筛分包装得再生活性炭。</w:t>
            </w:r>
          </w:p>
          <w:p>
            <w:pPr>
              <w:spacing w:line="300" w:lineRule="exact"/>
              <w:ind w:firstLine="420" w:firstLineChars="200"/>
              <w:rPr>
                <w:rFonts w:ascii="Times New Roman"/>
                <w:szCs w:val="24"/>
              </w:rPr>
            </w:pPr>
            <w:r>
              <w:rPr>
                <w:rFonts w:hint="eastAsia" w:ascii="Times New Roman"/>
                <w:szCs w:val="24"/>
              </w:rPr>
              <w:t>再生烟气主要是废活性炭再生过程产生的烟气，再生烟气污 染物排放具有不稳定、不均衡性，污染物视废活性炭类别、数量和工艺控制条件而定，主要有酸性组分（</w:t>
            </w:r>
            <w:r>
              <w:rPr>
                <w:rFonts w:ascii="Times New Roman"/>
                <w:szCs w:val="24"/>
              </w:rPr>
              <w:t>SO2</w:t>
            </w:r>
            <w:r>
              <w:rPr>
                <w:rFonts w:hint="eastAsia" w:ascii="Times New Roman"/>
                <w:szCs w:val="24"/>
              </w:rPr>
              <w:t>、</w:t>
            </w:r>
            <w:r>
              <w:rPr>
                <w:rFonts w:ascii="Times New Roman"/>
                <w:szCs w:val="24"/>
              </w:rPr>
              <w:t>NOx</w:t>
            </w:r>
            <w:r>
              <w:rPr>
                <w:rFonts w:hint="eastAsia" w:ascii="Times New Roman"/>
                <w:szCs w:val="24"/>
              </w:rPr>
              <w:t>、</w:t>
            </w:r>
            <w:r>
              <w:rPr>
                <w:rFonts w:ascii="Times New Roman"/>
                <w:szCs w:val="24"/>
              </w:rPr>
              <w:t>HCl</w:t>
            </w:r>
            <w:r>
              <w:rPr>
                <w:rFonts w:hint="eastAsia" w:ascii="Times New Roman"/>
                <w:szCs w:val="24"/>
              </w:rPr>
              <w:t>、</w:t>
            </w:r>
            <w:r>
              <w:rPr>
                <w:rFonts w:ascii="Times New Roman"/>
                <w:szCs w:val="24"/>
              </w:rPr>
              <w:t>HF</w:t>
            </w:r>
            <w:r>
              <w:rPr>
                <w:rFonts w:hint="eastAsia" w:ascii="Times New Roman"/>
                <w:szCs w:val="24"/>
              </w:rPr>
              <w:t>）、</w:t>
            </w:r>
            <w:r>
              <w:rPr>
                <w:rFonts w:ascii="Times New Roman"/>
                <w:szCs w:val="24"/>
              </w:rPr>
              <w:t>CO</w:t>
            </w:r>
            <w:r>
              <w:rPr>
                <w:rFonts w:hint="eastAsia" w:ascii="Times New Roman"/>
                <w:szCs w:val="24"/>
              </w:rPr>
              <w:t>、烟尘、重金属、二噁英类等。</w:t>
            </w:r>
          </w:p>
          <w:p>
            <w:pPr>
              <w:spacing w:line="300" w:lineRule="exact"/>
              <w:ind w:firstLine="420" w:firstLineChars="200"/>
              <w:rPr>
                <w:rFonts w:ascii="Times New Roman"/>
                <w:szCs w:val="24"/>
              </w:rPr>
            </w:pPr>
            <w:r>
              <w:rPr>
                <w:rFonts w:hint="eastAsia" w:ascii="Times New Roman"/>
                <w:szCs w:val="24"/>
              </w:rPr>
              <w:t>（1）再生后的烟气中含有可燃气体和微粒，进入二次燃烧室在燃烧器火焰和二次风的帮助下进一步高温分解燃烧。燃烧温度达到</w:t>
            </w:r>
            <w:r>
              <w:rPr>
                <w:rFonts w:ascii="Times New Roman"/>
                <w:szCs w:val="24"/>
              </w:rPr>
              <w:t>1100</w:t>
            </w:r>
            <w:r>
              <w:rPr>
                <w:rFonts w:hint="eastAsia" w:ascii="Times New Roman"/>
                <w:szCs w:val="24"/>
              </w:rPr>
              <w:t>℃以上，保证烟气中所含的有害物质充分燃烬。</w:t>
            </w:r>
          </w:p>
          <w:p>
            <w:pPr>
              <w:spacing w:line="300" w:lineRule="exact"/>
              <w:ind w:firstLine="420" w:firstLineChars="200"/>
              <w:rPr>
                <w:rFonts w:ascii="Times New Roman"/>
                <w:szCs w:val="24"/>
              </w:rPr>
            </w:pPr>
            <w:r>
              <w:rPr>
                <w:rFonts w:hint="eastAsia" w:ascii="Times New Roman"/>
                <w:szCs w:val="24"/>
              </w:rPr>
              <w:t>（2）经过二燃室后的烟气进入SNCR脱硝反应器。选择性非催化还原（SNCR）技术属于燃烧后控制技术，是将带有氨基物质在没有催化剂的情况下，由泵喷射入管道内在一定条件下，与NO</w:t>
            </w:r>
            <w:r>
              <w:rPr>
                <w:rFonts w:hint="eastAsia" w:ascii="Times New Roman"/>
                <w:szCs w:val="24"/>
                <w:vertAlign w:val="subscript"/>
              </w:rPr>
              <w:t>X</w:t>
            </w:r>
            <w:r>
              <w:rPr>
                <w:rFonts w:hint="eastAsia" w:ascii="Times New Roman"/>
                <w:szCs w:val="24"/>
              </w:rPr>
              <w:t>反应还原生成无毒无害的氮气和水。</w:t>
            </w:r>
          </w:p>
          <w:p>
            <w:pPr>
              <w:spacing w:line="300" w:lineRule="exact"/>
              <w:ind w:firstLine="420" w:firstLineChars="200"/>
              <w:rPr>
                <w:rFonts w:ascii="Times New Roman"/>
                <w:szCs w:val="24"/>
              </w:rPr>
            </w:pPr>
            <w:r>
              <w:rPr>
                <w:rFonts w:hint="eastAsia" w:ascii="Times New Roman"/>
                <w:szCs w:val="24"/>
              </w:rPr>
              <w:t>（3）急冷吸收塔的主要作用是将烟气迅速降温的同时利用碱液吸   收尾气中的酸性成份。经余热锅炉后的烟气温度在</w:t>
            </w:r>
            <w:r>
              <w:rPr>
                <w:rFonts w:ascii="Times New Roman"/>
                <w:szCs w:val="24"/>
              </w:rPr>
              <w:t>600</w:t>
            </w:r>
            <w:r>
              <w:rPr>
                <w:rFonts w:hint="eastAsia" w:ascii="Times New Roman"/>
                <w:szCs w:val="24"/>
              </w:rPr>
              <w:t>℃左右，为避免二噁英类物质在</w:t>
            </w:r>
            <w:r>
              <w:rPr>
                <w:rFonts w:ascii="Times New Roman"/>
                <w:szCs w:val="24"/>
              </w:rPr>
              <w:t>250~500</w:t>
            </w:r>
            <w:r>
              <w:rPr>
                <w:rFonts w:hint="eastAsia" w:ascii="Times New Roman"/>
                <w:szCs w:val="24"/>
              </w:rPr>
              <w:t>℃温度区间的再次生成，系统必须尽量缩短烟气在该温度段的停留时间，急冷喷射装置采用喷水直接冷却的方式，烟气温度得以迅速降低到2</w:t>
            </w:r>
            <w:r>
              <w:rPr>
                <w:rFonts w:ascii="Times New Roman"/>
                <w:szCs w:val="24"/>
              </w:rPr>
              <w:t>00</w:t>
            </w:r>
            <w:r>
              <w:rPr>
                <w:rFonts w:hint="eastAsia" w:ascii="Times New Roman"/>
                <w:szCs w:val="24"/>
              </w:rPr>
              <w:t>℃左右。</w:t>
            </w:r>
          </w:p>
          <w:p>
            <w:pPr>
              <w:spacing w:line="300" w:lineRule="exact"/>
              <w:ind w:firstLine="420" w:firstLineChars="200"/>
              <w:rPr>
                <w:rFonts w:ascii="Times New Roman"/>
                <w:szCs w:val="24"/>
              </w:rPr>
            </w:pPr>
            <w:r>
              <w:rPr>
                <w:rFonts w:hint="eastAsia" w:ascii="Times New Roman"/>
                <w:szCs w:val="24"/>
              </w:rPr>
              <w:t>（4）干法脱酸和除二噁英装置主要设备包括活性炭粉储槽、氧化钙储槽、回转高压风机和文丘里干式反应器。目的是采用活性炭粉和氧化钙粉末分别喷入袋式除尘器前的文丘里干式反应器里，进一步脱除烟气中的酸性物质并吸附大部分二噁英类等有害物质。</w:t>
            </w:r>
          </w:p>
          <w:p>
            <w:pPr>
              <w:spacing w:line="300" w:lineRule="exact"/>
              <w:ind w:firstLine="420" w:firstLineChars="200"/>
              <w:rPr>
                <w:rFonts w:ascii="Times New Roman"/>
                <w:szCs w:val="24"/>
              </w:rPr>
            </w:pPr>
            <w:r>
              <w:rPr>
                <w:rFonts w:hint="eastAsia" w:ascii="Times New Roman"/>
                <w:szCs w:val="24"/>
              </w:rPr>
              <w:t>（5）布袋除尘器：经过干式反应器的烟气进入布袋除尘器。它适用于捕集细小、干燥、非纤维性粉尘。</w:t>
            </w:r>
          </w:p>
          <w:p>
            <w:pPr>
              <w:spacing w:line="300" w:lineRule="exact"/>
              <w:ind w:firstLine="420" w:firstLineChars="200"/>
              <w:rPr>
                <w:rFonts w:ascii="Times New Roman"/>
                <w:szCs w:val="24"/>
              </w:rPr>
            </w:pPr>
            <w:r>
              <w:rPr>
                <w:rFonts w:hint="eastAsia" w:ascii="Times New Roman"/>
                <w:szCs w:val="24"/>
              </w:rPr>
              <w:t>（6）碱液喷淋塔：采用碱液喷淋经特殊喷嘴喷洒，残留的废气体由塔底进入，气体分布后和塔内的填料与碱液逆流接触，有效的将残留气态的污染物进行洗涤，最后将净化的气体经除雾器后由塔顶排出。</w:t>
            </w:r>
          </w:p>
          <w:p>
            <w:pPr>
              <w:spacing w:line="300" w:lineRule="exact"/>
              <w:ind w:firstLine="420" w:firstLineChars="200"/>
              <w:rPr>
                <w:rFonts w:ascii="Times New Roman"/>
                <w:szCs w:val="24"/>
              </w:rPr>
            </w:pPr>
            <w:r>
              <w:rPr>
                <w:rFonts w:hint="eastAsia" w:ascii="Times New Roman"/>
                <w:szCs w:val="24"/>
              </w:rPr>
              <w:t>（7）活性炭吸附箱：进一步吸收处理废气中残留的有机物。</w:t>
            </w:r>
          </w:p>
          <w:p>
            <w:pPr>
              <w:spacing w:line="480" w:lineRule="exact"/>
              <w:rPr>
                <w:rFonts w:ascii="Times New Roman"/>
                <w:szCs w:val="24"/>
              </w:rPr>
            </w:pPr>
            <w:r>
              <w:rPr>
                <w:rFonts w:hint="eastAsia" w:ascii="Times New Roman"/>
                <w:szCs w:val="24"/>
              </w:rPr>
              <w:t>贮存说明：</w:t>
            </w:r>
          </w:p>
          <w:p>
            <w:pPr>
              <w:spacing w:line="480" w:lineRule="exact"/>
              <w:ind w:firstLine="420" w:firstLineChars="200"/>
              <w:rPr>
                <w:rFonts w:ascii="Times New Roman"/>
                <w:szCs w:val="24"/>
              </w:rPr>
            </w:pPr>
            <w:r>
              <w:rPr>
                <w:rFonts w:hint="eastAsia" w:ascii="Times New Roman"/>
                <w:szCs w:val="24"/>
              </w:rPr>
              <w:t>废活性炭分类存放，贮存库密闭，根据《环境保护图形标志－固体废物贮存（处置）场》（GB15562.2-1995）设立专用标志；按《危险废物贮存污染控制标准》（GB18597-2001）进行建设，做好“三防”措施；正常运营时，整体换风，保持微负压；收集暂存场所的废气活性炭吸附装置，减少无组织废气对周边环境的影响。</w:t>
            </w:r>
          </w:p>
          <w:p>
            <w:pPr>
              <w:spacing w:line="300" w:lineRule="exact"/>
            </w:pPr>
          </w:p>
          <w:p>
            <w:pPr>
              <w:spacing w:line="300" w:lineRule="exact"/>
            </w:pPr>
          </w:p>
          <w:p>
            <w:pPr>
              <w:spacing w:line="300" w:lineRule="exact"/>
            </w:pPr>
          </w:p>
          <w:p>
            <w:pPr>
              <w:spacing w:line="300" w:lineRule="exact"/>
            </w:pPr>
          </w:p>
        </w:tc>
      </w:tr>
    </w:tbl>
    <w:p>
      <w:pPr>
        <w:rPr>
          <w:rFonts w:ascii="Times New Roman" w:hAnsi="Times New Roman"/>
        </w:rPr>
        <w:sectPr>
          <w:pgSz w:w="11906" w:h="16838"/>
          <w:pgMar w:top="1440" w:right="1797" w:bottom="1440" w:left="1797" w:header="851" w:footer="992" w:gutter="0"/>
          <w:cols w:space="425" w:num="1"/>
          <w:docGrid w:type="lines" w:linePitch="312" w:charSpace="0"/>
        </w:sectPr>
      </w:pPr>
    </w:p>
    <w:p>
      <w:pPr>
        <w:rPr>
          <w:rFonts w:ascii="Times New Roman" w:hAnsi="Times New Roman" w:eastAsia="黑体"/>
          <w:sz w:val="28"/>
          <w:szCs w:val="28"/>
        </w:rPr>
      </w:pPr>
      <w:r>
        <w:rPr>
          <w:rFonts w:ascii="Times New Roman" w:eastAsia="黑体"/>
          <w:sz w:val="28"/>
          <w:szCs w:val="28"/>
        </w:rPr>
        <w:t>第四部分</w:t>
      </w:r>
      <w:r>
        <w:rPr>
          <w:rFonts w:ascii="Times New Roman" w:hAnsi="Times New Roman" w:eastAsia="黑体"/>
          <w:sz w:val="28"/>
          <w:szCs w:val="28"/>
        </w:rPr>
        <w:t xml:space="preserve"> </w:t>
      </w:r>
      <w:r>
        <w:rPr>
          <w:rFonts w:ascii="Times New Roman" w:eastAsia="黑体"/>
          <w:sz w:val="28"/>
          <w:szCs w:val="28"/>
        </w:rPr>
        <w:t>上年度固体（危险）废物跨省转移情况</w:t>
      </w:r>
    </w:p>
    <w:tbl>
      <w:tblPr>
        <w:tblStyle w:val="7"/>
        <w:tblW w:w="15735"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1070"/>
        <w:gridCol w:w="2126"/>
        <w:gridCol w:w="1135"/>
        <w:gridCol w:w="1757"/>
        <w:gridCol w:w="1362"/>
        <w:gridCol w:w="2583"/>
        <w:gridCol w:w="1166"/>
        <w:gridCol w:w="2424"/>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056" w:type="dxa"/>
            <w:shd w:val="clear" w:color="auto" w:fill="auto"/>
            <w:vAlign w:val="center"/>
          </w:tcPr>
          <w:p>
            <w:pPr>
              <w:jc w:val="center"/>
              <w:rPr>
                <w:rFonts w:ascii="Times New Roman" w:hAnsi="Times New Roman"/>
              </w:rPr>
            </w:pPr>
            <w:r>
              <w:rPr>
                <w:rFonts w:ascii="Times New Roman" w:hAnsi="宋体"/>
              </w:rPr>
              <w:t>出厂日期</w:t>
            </w:r>
          </w:p>
        </w:tc>
        <w:tc>
          <w:tcPr>
            <w:tcW w:w="1070" w:type="dxa"/>
            <w:shd w:val="clear" w:color="auto" w:fill="auto"/>
            <w:vAlign w:val="center"/>
          </w:tcPr>
          <w:p>
            <w:pPr>
              <w:jc w:val="center"/>
              <w:rPr>
                <w:rFonts w:ascii="Times New Roman" w:hAnsi="Times New Roman"/>
              </w:rPr>
            </w:pPr>
            <w:r>
              <w:rPr>
                <w:rFonts w:ascii="Times New Roman" w:hAnsi="宋体"/>
              </w:rPr>
              <w:t>转移批次</w:t>
            </w:r>
          </w:p>
        </w:tc>
        <w:tc>
          <w:tcPr>
            <w:tcW w:w="2126" w:type="dxa"/>
            <w:shd w:val="clear" w:color="auto" w:fill="auto"/>
            <w:vAlign w:val="center"/>
          </w:tcPr>
          <w:p>
            <w:pPr>
              <w:jc w:val="center"/>
              <w:rPr>
                <w:rFonts w:ascii="Times New Roman" w:hAnsi="Times New Roman"/>
              </w:rPr>
            </w:pPr>
            <w:r>
              <w:rPr>
                <w:rFonts w:ascii="Times New Roman" w:hAnsi="宋体"/>
              </w:rPr>
              <w:t>联单编号</w:t>
            </w:r>
          </w:p>
        </w:tc>
        <w:tc>
          <w:tcPr>
            <w:tcW w:w="1135" w:type="dxa"/>
            <w:shd w:val="clear" w:color="auto" w:fill="auto"/>
            <w:vAlign w:val="center"/>
          </w:tcPr>
          <w:p>
            <w:pPr>
              <w:jc w:val="center"/>
              <w:rPr>
                <w:rFonts w:ascii="Times New Roman" w:hAnsi="Times New Roman"/>
              </w:rPr>
            </w:pPr>
            <w:r>
              <w:rPr>
                <w:rFonts w:ascii="Times New Roman" w:hAnsi="宋体"/>
              </w:rPr>
              <w:t>废物名称</w:t>
            </w:r>
          </w:p>
        </w:tc>
        <w:tc>
          <w:tcPr>
            <w:tcW w:w="1757" w:type="dxa"/>
            <w:shd w:val="clear" w:color="auto" w:fill="auto"/>
            <w:vAlign w:val="center"/>
          </w:tcPr>
          <w:p>
            <w:pPr>
              <w:jc w:val="center"/>
              <w:rPr>
                <w:rFonts w:ascii="Times New Roman" w:hAnsi="Times New Roman"/>
              </w:rPr>
            </w:pPr>
            <w:r>
              <w:rPr>
                <w:rFonts w:ascii="Times New Roman" w:hAnsi="宋体"/>
              </w:rPr>
              <w:t>类别</w:t>
            </w:r>
            <w:r>
              <w:rPr>
                <w:rFonts w:ascii="Times New Roman" w:hAnsi="Times New Roman"/>
              </w:rPr>
              <w:t>/</w:t>
            </w:r>
            <w:r>
              <w:rPr>
                <w:rFonts w:ascii="Times New Roman" w:hAnsi="宋体"/>
              </w:rPr>
              <w:t>代码</w:t>
            </w:r>
          </w:p>
        </w:tc>
        <w:tc>
          <w:tcPr>
            <w:tcW w:w="1362" w:type="dxa"/>
            <w:shd w:val="clear" w:color="auto" w:fill="auto"/>
            <w:vAlign w:val="center"/>
          </w:tcPr>
          <w:p>
            <w:pPr>
              <w:jc w:val="center"/>
              <w:rPr>
                <w:rFonts w:ascii="Times New Roman" w:hAnsi="Times New Roman"/>
              </w:rPr>
            </w:pPr>
            <w:r>
              <w:rPr>
                <w:rFonts w:ascii="Times New Roman" w:hAnsi="宋体"/>
              </w:rPr>
              <w:t>转移量（吨）</w:t>
            </w:r>
          </w:p>
        </w:tc>
        <w:tc>
          <w:tcPr>
            <w:tcW w:w="2583" w:type="dxa"/>
            <w:shd w:val="clear" w:color="auto" w:fill="auto"/>
            <w:vAlign w:val="center"/>
          </w:tcPr>
          <w:p>
            <w:pPr>
              <w:jc w:val="center"/>
              <w:rPr>
                <w:rFonts w:ascii="Times New Roman" w:hAnsi="Times New Roman"/>
              </w:rPr>
            </w:pPr>
            <w:r>
              <w:rPr>
                <w:rFonts w:ascii="Times New Roman"/>
              </w:rPr>
              <w:t>运输单位</w:t>
            </w:r>
          </w:p>
        </w:tc>
        <w:tc>
          <w:tcPr>
            <w:tcW w:w="1166" w:type="dxa"/>
            <w:vAlign w:val="center"/>
          </w:tcPr>
          <w:p>
            <w:pPr>
              <w:jc w:val="center"/>
              <w:rPr>
                <w:rFonts w:ascii="Times New Roman" w:hAnsi="Times New Roman"/>
              </w:rPr>
            </w:pPr>
            <w:r>
              <w:rPr>
                <w:rFonts w:ascii="Times New Roman"/>
              </w:rPr>
              <w:t>车号</w:t>
            </w:r>
          </w:p>
        </w:tc>
        <w:tc>
          <w:tcPr>
            <w:tcW w:w="2424" w:type="dxa"/>
            <w:vAlign w:val="center"/>
          </w:tcPr>
          <w:p>
            <w:pPr>
              <w:jc w:val="center"/>
              <w:rPr>
                <w:rFonts w:ascii="Times New Roman" w:hAnsi="Times New Roman"/>
              </w:rPr>
            </w:pPr>
            <w:r>
              <w:rPr>
                <w:rFonts w:ascii="Times New Roman" w:hAnsi="宋体"/>
              </w:rPr>
              <w:t>接收单位</w:t>
            </w:r>
          </w:p>
        </w:tc>
        <w:tc>
          <w:tcPr>
            <w:tcW w:w="1056" w:type="dxa"/>
            <w:vAlign w:val="center"/>
          </w:tcPr>
          <w:p>
            <w:pPr>
              <w:jc w:val="center"/>
              <w:rPr>
                <w:rFonts w:ascii="Times New Roman" w:hAnsi="Times New Roman"/>
              </w:rPr>
            </w:pPr>
            <w:r>
              <w:rPr>
                <w:rFonts w:ascii="Times New Roman" w:hAnsi="宋体"/>
              </w:rPr>
              <w:t>接收日期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1056" w:type="dxa"/>
            <w:shd w:val="clear" w:color="auto" w:fill="auto"/>
          </w:tcPr>
          <w:p>
            <w:pPr>
              <w:jc w:val="left"/>
              <w:rPr>
                <w:rFonts w:ascii="Times New Roman" w:hAnsi="Times New Roman"/>
                <w:sz w:val="18"/>
                <w:szCs w:val="18"/>
              </w:rPr>
            </w:pPr>
          </w:p>
        </w:tc>
        <w:tc>
          <w:tcPr>
            <w:tcW w:w="1070" w:type="dxa"/>
            <w:shd w:val="clear" w:color="auto" w:fill="auto"/>
          </w:tcPr>
          <w:p>
            <w:pPr>
              <w:jc w:val="left"/>
              <w:rPr>
                <w:rFonts w:ascii="Times New Roman" w:hAnsi="Times New Roman"/>
                <w:sz w:val="18"/>
                <w:szCs w:val="18"/>
              </w:rPr>
            </w:pPr>
          </w:p>
        </w:tc>
        <w:tc>
          <w:tcPr>
            <w:tcW w:w="2126" w:type="dxa"/>
            <w:shd w:val="clear" w:color="auto" w:fill="auto"/>
          </w:tcPr>
          <w:p>
            <w:pPr>
              <w:jc w:val="left"/>
              <w:rPr>
                <w:rFonts w:ascii="Times New Roman" w:hAnsi="Times New Roman"/>
                <w:sz w:val="18"/>
                <w:szCs w:val="18"/>
              </w:rPr>
            </w:pPr>
          </w:p>
        </w:tc>
        <w:tc>
          <w:tcPr>
            <w:tcW w:w="1135" w:type="dxa"/>
            <w:shd w:val="clear" w:color="auto" w:fill="auto"/>
          </w:tcPr>
          <w:p>
            <w:pPr>
              <w:jc w:val="left"/>
              <w:rPr>
                <w:rFonts w:ascii="Times New Roman" w:hAnsi="Times New Roman"/>
                <w:sz w:val="18"/>
                <w:szCs w:val="18"/>
              </w:rPr>
            </w:pPr>
          </w:p>
        </w:tc>
        <w:tc>
          <w:tcPr>
            <w:tcW w:w="1757" w:type="dxa"/>
            <w:shd w:val="clear" w:color="auto" w:fill="auto"/>
          </w:tcPr>
          <w:p>
            <w:pPr>
              <w:jc w:val="left"/>
              <w:rPr>
                <w:rFonts w:ascii="Times New Roman" w:hAnsi="Times New Roman"/>
                <w:sz w:val="18"/>
                <w:szCs w:val="18"/>
              </w:rPr>
            </w:pPr>
          </w:p>
        </w:tc>
        <w:tc>
          <w:tcPr>
            <w:tcW w:w="1362" w:type="dxa"/>
            <w:shd w:val="clear" w:color="auto" w:fill="auto"/>
          </w:tcPr>
          <w:p>
            <w:pPr>
              <w:jc w:val="left"/>
              <w:rPr>
                <w:rFonts w:ascii="Times New Roman" w:hAnsi="Times New Roman"/>
                <w:sz w:val="18"/>
                <w:szCs w:val="18"/>
              </w:rPr>
            </w:pPr>
          </w:p>
        </w:tc>
        <w:tc>
          <w:tcPr>
            <w:tcW w:w="2583" w:type="dxa"/>
            <w:shd w:val="clear" w:color="auto" w:fill="auto"/>
          </w:tcPr>
          <w:p>
            <w:pPr>
              <w:jc w:val="left"/>
              <w:rPr>
                <w:rFonts w:ascii="Times New Roman" w:hAnsi="Times New Roman"/>
                <w:sz w:val="18"/>
                <w:szCs w:val="18"/>
              </w:rPr>
            </w:pPr>
          </w:p>
        </w:tc>
        <w:tc>
          <w:tcPr>
            <w:tcW w:w="1166" w:type="dxa"/>
          </w:tcPr>
          <w:p>
            <w:pPr>
              <w:jc w:val="left"/>
              <w:rPr>
                <w:rFonts w:ascii="Times New Roman" w:hAnsi="Times New Roman"/>
                <w:sz w:val="18"/>
                <w:szCs w:val="18"/>
              </w:rPr>
            </w:pPr>
          </w:p>
        </w:tc>
        <w:tc>
          <w:tcPr>
            <w:tcW w:w="2424" w:type="dxa"/>
          </w:tcPr>
          <w:p>
            <w:pPr>
              <w:jc w:val="left"/>
              <w:rPr>
                <w:rFonts w:ascii="Times New Roman" w:hAnsi="Times New Roman"/>
                <w:sz w:val="18"/>
                <w:szCs w:val="18"/>
              </w:rPr>
            </w:pPr>
          </w:p>
        </w:tc>
        <w:tc>
          <w:tcPr>
            <w:tcW w:w="1056" w:type="dxa"/>
          </w:tcPr>
          <w:p>
            <w:pPr>
              <w:jc w:val="left"/>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056" w:type="dxa"/>
            <w:shd w:val="clear" w:color="auto" w:fill="auto"/>
          </w:tcPr>
          <w:p>
            <w:pPr>
              <w:jc w:val="left"/>
              <w:rPr>
                <w:rFonts w:ascii="Times New Roman" w:hAnsi="Times New Roman"/>
                <w:sz w:val="18"/>
                <w:szCs w:val="18"/>
              </w:rPr>
            </w:pPr>
          </w:p>
        </w:tc>
        <w:tc>
          <w:tcPr>
            <w:tcW w:w="1070" w:type="dxa"/>
            <w:shd w:val="clear" w:color="auto" w:fill="auto"/>
          </w:tcPr>
          <w:p>
            <w:pPr>
              <w:jc w:val="left"/>
              <w:rPr>
                <w:rFonts w:ascii="Times New Roman" w:hAnsi="Times New Roman"/>
                <w:sz w:val="18"/>
                <w:szCs w:val="18"/>
              </w:rPr>
            </w:pPr>
          </w:p>
        </w:tc>
        <w:tc>
          <w:tcPr>
            <w:tcW w:w="2126" w:type="dxa"/>
            <w:shd w:val="clear" w:color="auto" w:fill="auto"/>
          </w:tcPr>
          <w:p>
            <w:pPr>
              <w:jc w:val="left"/>
              <w:rPr>
                <w:rFonts w:ascii="Times New Roman" w:hAnsi="Times New Roman"/>
                <w:sz w:val="18"/>
                <w:szCs w:val="18"/>
              </w:rPr>
            </w:pPr>
          </w:p>
        </w:tc>
        <w:tc>
          <w:tcPr>
            <w:tcW w:w="1135" w:type="dxa"/>
            <w:shd w:val="clear" w:color="auto" w:fill="auto"/>
          </w:tcPr>
          <w:p>
            <w:pPr>
              <w:jc w:val="left"/>
              <w:rPr>
                <w:rFonts w:ascii="Times New Roman" w:hAnsi="Times New Roman"/>
                <w:sz w:val="18"/>
                <w:szCs w:val="18"/>
              </w:rPr>
            </w:pPr>
          </w:p>
        </w:tc>
        <w:tc>
          <w:tcPr>
            <w:tcW w:w="1757" w:type="dxa"/>
            <w:shd w:val="clear" w:color="auto" w:fill="auto"/>
          </w:tcPr>
          <w:p>
            <w:pPr>
              <w:jc w:val="left"/>
              <w:rPr>
                <w:rFonts w:ascii="Times New Roman" w:hAnsi="Times New Roman"/>
                <w:sz w:val="18"/>
                <w:szCs w:val="18"/>
              </w:rPr>
            </w:pPr>
          </w:p>
        </w:tc>
        <w:tc>
          <w:tcPr>
            <w:tcW w:w="1362" w:type="dxa"/>
            <w:shd w:val="clear" w:color="auto" w:fill="auto"/>
          </w:tcPr>
          <w:p>
            <w:pPr>
              <w:jc w:val="left"/>
              <w:rPr>
                <w:rFonts w:ascii="Times New Roman" w:hAnsi="Times New Roman"/>
                <w:sz w:val="18"/>
                <w:szCs w:val="18"/>
              </w:rPr>
            </w:pPr>
          </w:p>
        </w:tc>
        <w:tc>
          <w:tcPr>
            <w:tcW w:w="2583" w:type="dxa"/>
            <w:shd w:val="clear" w:color="auto" w:fill="auto"/>
          </w:tcPr>
          <w:p>
            <w:pPr>
              <w:jc w:val="left"/>
              <w:rPr>
                <w:rFonts w:ascii="Times New Roman" w:hAnsi="Times New Roman"/>
                <w:sz w:val="18"/>
                <w:szCs w:val="18"/>
              </w:rPr>
            </w:pPr>
          </w:p>
        </w:tc>
        <w:tc>
          <w:tcPr>
            <w:tcW w:w="1166" w:type="dxa"/>
          </w:tcPr>
          <w:p>
            <w:pPr>
              <w:jc w:val="left"/>
              <w:rPr>
                <w:rFonts w:ascii="Times New Roman" w:hAnsi="Times New Roman"/>
                <w:sz w:val="18"/>
                <w:szCs w:val="18"/>
              </w:rPr>
            </w:pPr>
          </w:p>
        </w:tc>
        <w:tc>
          <w:tcPr>
            <w:tcW w:w="2424" w:type="dxa"/>
          </w:tcPr>
          <w:p>
            <w:pPr>
              <w:jc w:val="left"/>
              <w:rPr>
                <w:rFonts w:ascii="Times New Roman" w:hAnsi="Times New Roman"/>
                <w:sz w:val="18"/>
                <w:szCs w:val="18"/>
              </w:rPr>
            </w:pPr>
          </w:p>
        </w:tc>
        <w:tc>
          <w:tcPr>
            <w:tcW w:w="1056" w:type="dxa"/>
          </w:tcPr>
          <w:p>
            <w:pPr>
              <w:jc w:val="left"/>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056" w:type="dxa"/>
            <w:shd w:val="clear" w:color="auto" w:fill="auto"/>
          </w:tcPr>
          <w:p>
            <w:pPr>
              <w:jc w:val="left"/>
              <w:rPr>
                <w:rFonts w:ascii="Times New Roman" w:hAnsi="Times New Roman"/>
              </w:rPr>
            </w:pPr>
          </w:p>
        </w:tc>
        <w:tc>
          <w:tcPr>
            <w:tcW w:w="1070" w:type="dxa"/>
            <w:shd w:val="clear" w:color="auto" w:fill="auto"/>
          </w:tcPr>
          <w:p>
            <w:pPr>
              <w:jc w:val="left"/>
              <w:rPr>
                <w:rFonts w:ascii="Times New Roman" w:hAnsi="Times New Roman"/>
              </w:rPr>
            </w:pPr>
          </w:p>
        </w:tc>
        <w:tc>
          <w:tcPr>
            <w:tcW w:w="2126" w:type="dxa"/>
            <w:shd w:val="clear" w:color="auto" w:fill="auto"/>
          </w:tcPr>
          <w:p>
            <w:pPr>
              <w:jc w:val="left"/>
              <w:rPr>
                <w:rFonts w:ascii="Times New Roman" w:hAnsi="Times New Roman"/>
              </w:rPr>
            </w:pPr>
          </w:p>
        </w:tc>
        <w:tc>
          <w:tcPr>
            <w:tcW w:w="1135" w:type="dxa"/>
            <w:shd w:val="clear" w:color="auto" w:fill="auto"/>
          </w:tcPr>
          <w:p>
            <w:pPr>
              <w:jc w:val="left"/>
              <w:rPr>
                <w:rFonts w:ascii="Times New Roman" w:hAnsi="Times New Roman"/>
              </w:rPr>
            </w:pPr>
          </w:p>
        </w:tc>
        <w:tc>
          <w:tcPr>
            <w:tcW w:w="1757" w:type="dxa"/>
            <w:shd w:val="clear" w:color="auto" w:fill="auto"/>
          </w:tcPr>
          <w:p>
            <w:pPr>
              <w:jc w:val="left"/>
              <w:rPr>
                <w:rFonts w:ascii="Times New Roman" w:hAnsi="Times New Roman"/>
              </w:rPr>
            </w:pPr>
          </w:p>
        </w:tc>
        <w:tc>
          <w:tcPr>
            <w:tcW w:w="1362" w:type="dxa"/>
            <w:shd w:val="clear" w:color="auto" w:fill="auto"/>
          </w:tcPr>
          <w:p>
            <w:pPr>
              <w:jc w:val="left"/>
              <w:rPr>
                <w:rFonts w:ascii="Times New Roman" w:hAnsi="Times New Roman"/>
              </w:rPr>
            </w:pPr>
          </w:p>
        </w:tc>
        <w:tc>
          <w:tcPr>
            <w:tcW w:w="2583" w:type="dxa"/>
            <w:shd w:val="clear" w:color="auto" w:fill="auto"/>
          </w:tcPr>
          <w:p>
            <w:pPr>
              <w:jc w:val="left"/>
              <w:rPr>
                <w:rFonts w:ascii="Times New Roman" w:hAnsi="Times New Roman"/>
              </w:rPr>
            </w:pPr>
          </w:p>
        </w:tc>
        <w:tc>
          <w:tcPr>
            <w:tcW w:w="1166" w:type="dxa"/>
          </w:tcPr>
          <w:p>
            <w:pPr>
              <w:jc w:val="left"/>
              <w:rPr>
                <w:rFonts w:ascii="Times New Roman" w:hAnsi="Times New Roman"/>
              </w:rPr>
            </w:pPr>
          </w:p>
        </w:tc>
        <w:tc>
          <w:tcPr>
            <w:tcW w:w="2424" w:type="dxa"/>
          </w:tcPr>
          <w:p>
            <w:pPr>
              <w:jc w:val="left"/>
              <w:rPr>
                <w:rFonts w:ascii="Times New Roman" w:hAnsi="Times New Roman"/>
              </w:rPr>
            </w:pPr>
          </w:p>
        </w:tc>
        <w:tc>
          <w:tcPr>
            <w:tcW w:w="1056" w:type="dxa"/>
          </w:tcPr>
          <w:p>
            <w:pPr>
              <w:jc w:val="lef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056" w:type="dxa"/>
            <w:shd w:val="clear" w:color="auto" w:fill="auto"/>
          </w:tcPr>
          <w:p>
            <w:pPr>
              <w:jc w:val="left"/>
              <w:rPr>
                <w:rFonts w:ascii="Times New Roman" w:hAnsi="Times New Roman"/>
              </w:rPr>
            </w:pPr>
          </w:p>
        </w:tc>
        <w:tc>
          <w:tcPr>
            <w:tcW w:w="1070" w:type="dxa"/>
            <w:shd w:val="clear" w:color="auto" w:fill="auto"/>
          </w:tcPr>
          <w:p>
            <w:pPr>
              <w:jc w:val="left"/>
              <w:rPr>
                <w:rFonts w:ascii="Times New Roman" w:hAnsi="Times New Roman"/>
              </w:rPr>
            </w:pPr>
          </w:p>
        </w:tc>
        <w:tc>
          <w:tcPr>
            <w:tcW w:w="2126" w:type="dxa"/>
            <w:shd w:val="clear" w:color="auto" w:fill="auto"/>
          </w:tcPr>
          <w:p>
            <w:pPr>
              <w:jc w:val="left"/>
              <w:rPr>
                <w:rFonts w:ascii="Times New Roman" w:hAnsi="Times New Roman"/>
              </w:rPr>
            </w:pPr>
          </w:p>
        </w:tc>
        <w:tc>
          <w:tcPr>
            <w:tcW w:w="1135" w:type="dxa"/>
            <w:shd w:val="clear" w:color="auto" w:fill="auto"/>
          </w:tcPr>
          <w:p>
            <w:pPr>
              <w:jc w:val="left"/>
              <w:rPr>
                <w:rFonts w:ascii="Times New Roman" w:hAnsi="Times New Roman"/>
              </w:rPr>
            </w:pPr>
          </w:p>
        </w:tc>
        <w:tc>
          <w:tcPr>
            <w:tcW w:w="1757" w:type="dxa"/>
            <w:shd w:val="clear" w:color="auto" w:fill="auto"/>
          </w:tcPr>
          <w:p>
            <w:pPr>
              <w:jc w:val="left"/>
              <w:rPr>
                <w:rFonts w:ascii="Times New Roman" w:hAnsi="Times New Roman"/>
              </w:rPr>
            </w:pPr>
          </w:p>
        </w:tc>
        <w:tc>
          <w:tcPr>
            <w:tcW w:w="1362" w:type="dxa"/>
            <w:shd w:val="clear" w:color="auto" w:fill="auto"/>
          </w:tcPr>
          <w:p>
            <w:pPr>
              <w:jc w:val="left"/>
              <w:rPr>
                <w:rFonts w:ascii="Times New Roman" w:hAnsi="Times New Roman"/>
              </w:rPr>
            </w:pPr>
          </w:p>
        </w:tc>
        <w:tc>
          <w:tcPr>
            <w:tcW w:w="2583" w:type="dxa"/>
            <w:shd w:val="clear" w:color="auto" w:fill="auto"/>
          </w:tcPr>
          <w:p>
            <w:pPr>
              <w:jc w:val="left"/>
              <w:rPr>
                <w:rFonts w:ascii="Times New Roman" w:hAnsi="Times New Roman"/>
              </w:rPr>
            </w:pPr>
          </w:p>
        </w:tc>
        <w:tc>
          <w:tcPr>
            <w:tcW w:w="1166" w:type="dxa"/>
          </w:tcPr>
          <w:p>
            <w:pPr>
              <w:jc w:val="left"/>
              <w:rPr>
                <w:rFonts w:ascii="Times New Roman" w:hAnsi="Times New Roman"/>
              </w:rPr>
            </w:pPr>
          </w:p>
        </w:tc>
        <w:tc>
          <w:tcPr>
            <w:tcW w:w="2424" w:type="dxa"/>
          </w:tcPr>
          <w:p>
            <w:pPr>
              <w:jc w:val="left"/>
              <w:rPr>
                <w:rFonts w:ascii="Times New Roman" w:hAnsi="Times New Roman"/>
              </w:rPr>
            </w:pPr>
          </w:p>
        </w:tc>
        <w:tc>
          <w:tcPr>
            <w:tcW w:w="1056" w:type="dxa"/>
          </w:tcPr>
          <w:p>
            <w:pPr>
              <w:jc w:val="lef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056" w:type="dxa"/>
            <w:shd w:val="clear" w:color="auto" w:fill="auto"/>
          </w:tcPr>
          <w:p>
            <w:pPr>
              <w:jc w:val="left"/>
              <w:rPr>
                <w:rFonts w:ascii="Times New Roman" w:hAnsi="Times New Roman"/>
              </w:rPr>
            </w:pPr>
          </w:p>
        </w:tc>
        <w:tc>
          <w:tcPr>
            <w:tcW w:w="1070" w:type="dxa"/>
            <w:shd w:val="clear" w:color="auto" w:fill="auto"/>
          </w:tcPr>
          <w:p>
            <w:pPr>
              <w:jc w:val="left"/>
              <w:rPr>
                <w:rFonts w:ascii="Times New Roman" w:hAnsi="Times New Roman"/>
              </w:rPr>
            </w:pPr>
          </w:p>
        </w:tc>
        <w:tc>
          <w:tcPr>
            <w:tcW w:w="2126" w:type="dxa"/>
            <w:shd w:val="clear" w:color="auto" w:fill="auto"/>
          </w:tcPr>
          <w:p>
            <w:pPr>
              <w:jc w:val="left"/>
              <w:rPr>
                <w:rFonts w:ascii="Times New Roman" w:hAnsi="Times New Roman"/>
              </w:rPr>
            </w:pPr>
          </w:p>
        </w:tc>
        <w:tc>
          <w:tcPr>
            <w:tcW w:w="1135" w:type="dxa"/>
            <w:shd w:val="clear" w:color="auto" w:fill="auto"/>
          </w:tcPr>
          <w:p>
            <w:pPr>
              <w:jc w:val="left"/>
              <w:rPr>
                <w:rFonts w:ascii="Times New Roman" w:hAnsi="Times New Roman"/>
              </w:rPr>
            </w:pPr>
          </w:p>
        </w:tc>
        <w:tc>
          <w:tcPr>
            <w:tcW w:w="1757" w:type="dxa"/>
            <w:shd w:val="clear" w:color="auto" w:fill="auto"/>
          </w:tcPr>
          <w:p>
            <w:pPr>
              <w:jc w:val="left"/>
              <w:rPr>
                <w:rFonts w:ascii="Times New Roman" w:hAnsi="Times New Roman"/>
              </w:rPr>
            </w:pPr>
          </w:p>
        </w:tc>
        <w:tc>
          <w:tcPr>
            <w:tcW w:w="1362" w:type="dxa"/>
            <w:shd w:val="clear" w:color="auto" w:fill="auto"/>
          </w:tcPr>
          <w:p>
            <w:pPr>
              <w:jc w:val="left"/>
              <w:rPr>
                <w:rFonts w:ascii="Times New Roman" w:hAnsi="Times New Roman"/>
              </w:rPr>
            </w:pPr>
          </w:p>
        </w:tc>
        <w:tc>
          <w:tcPr>
            <w:tcW w:w="2583" w:type="dxa"/>
            <w:shd w:val="clear" w:color="auto" w:fill="auto"/>
          </w:tcPr>
          <w:p>
            <w:pPr>
              <w:jc w:val="left"/>
              <w:rPr>
                <w:rFonts w:ascii="Times New Roman" w:hAnsi="Times New Roman"/>
              </w:rPr>
            </w:pPr>
          </w:p>
        </w:tc>
        <w:tc>
          <w:tcPr>
            <w:tcW w:w="1166" w:type="dxa"/>
          </w:tcPr>
          <w:p>
            <w:pPr>
              <w:jc w:val="left"/>
              <w:rPr>
                <w:rFonts w:ascii="Times New Roman" w:hAnsi="Times New Roman"/>
              </w:rPr>
            </w:pPr>
          </w:p>
        </w:tc>
        <w:tc>
          <w:tcPr>
            <w:tcW w:w="2424" w:type="dxa"/>
          </w:tcPr>
          <w:p>
            <w:pPr>
              <w:jc w:val="left"/>
              <w:rPr>
                <w:rFonts w:ascii="Times New Roman" w:hAnsi="Times New Roman"/>
              </w:rPr>
            </w:pPr>
          </w:p>
        </w:tc>
        <w:tc>
          <w:tcPr>
            <w:tcW w:w="1056" w:type="dxa"/>
          </w:tcPr>
          <w:p>
            <w:pPr>
              <w:jc w:val="lef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056" w:type="dxa"/>
            <w:shd w:val="clear" w:color="auto" w:fill="auto"/>
          </w:tcPr>
          <w:p>
            <w:pPr>
              <w:jc w:val="left"/>
              <w:rPr>
                <w:rFonts w:ascii="Times New Roman" w:hAnsi="Times New Roman"/>
              </w:rPr>
            </w:pPr>
          </w:p>
        </w:tc>
        <w:tc>
          <w:tcPr>
            <w:tcW w:w="1070" w:type="dxa"/>
            <w:shd w:val="clear" w:color="auto" w:fill="auto"/>
          </w:tcPr>
          <w:p>
            <w:pPr>
              <w:jc w:val="left"/>
              <w:rPr>
                <w:rFonts w:ascii="Times New Roman" w:hAnsi="Times New Roman"/>
              </w:rPr>
            </w:pPr>
          </w:p>
        </w:tc>
        <w:tc>
          <w:tcPr>
            <w:tcW w:w="2126" w:type="dxa"/>
            <w:shd w:val="clear" w:color="auto" w:fill="auto"/>
          </w:tcPr>
          <w:p>
            <w:pPr>
              <w:jc w:val="left"/>
              <w:rPr>
                <w:rFonts w:ascii="Times New Roman" w:hAnsi="Times New Roman"/>
              </w:rPr>
            </w:pPr>
          </w:p>
        </w:tc>
        <w:tc>
          <w:tcPr>
            <w:tcW w:w="1135" w:type="dxa"/>
            <w:shd w:val="clear" w:color="auto" w:fill="auto"/>
          </w:tcPr>
          <w:p>
            <w:pPr>
              <w:jc w:val="left"/>
              <w:rPr>
                <w:rFonts w:ascii="Times New Roman" w:hAnsi="Times New Roman"/>
              </w:rPr>
            </w:pPr>
          </w:p>
        </w:tc>
        <w:tc>
          <w:tcPr>
            <w:tcW w:w="1757" w:type="dxa"/>
            <w:shd w:val="clear" w:color="auto" w:fill="auto"/>
          </w:tcPr>
          <w:p>
            <w:pPr>
              <w:jc w:val="left"/>
              <w:rPr>
                <w:rFonts w:ascii="Times New Roman" w:hAnsi="Times New Roman"/>
              </w:rPr>
            </w:pPr>
          </w:p>
        </w:tc>
        <w:tc>
          <w:tcPr>
            <w:tcW w:w="1362" w:type="dxa"/>
            <w:shd w:val="clear" w:color="auto" w:fill="auto"/>
          </w:tcPr>
          <w:p>
            <w:pPr>
              <w:jc w:val="left"/>
              <w:rPr>
                <w:rFonts w:ascii="Times New Roman" w:hAnsi="Times New Roman"/>
              </w:rPr>
            </w:pPr>
          </w:p>
        </w:tc>
        <w:tc>
          <w:tcPr>
            <w:tcW w:w="2583" w:type="dxa"/>
            <w:shd w:val="clear" w:color="auto" w:fill="auto"/>
          </w:tcPr>
          <w:p>
            <w:pPr>
              <w:jc w:val="left"/>
              <w:rPr>
                <w:rFonts w:ascii="Times New Roman" w:hAnsi="Times New Roman"/>
              </w:rPr>
            </w:pPr>
          </w:p>
        </w:tc>
        <w:tc>
          <w:tcPr>
            <w:tcW w:w="1166" w:type="dxa"/>
          </w:tcPr>
          <w:p>
            <w:pPr>
              <w:jc w:val="left"/>
              <w:rPr>
                <w:rFonts w:ascii="Times New Roman" w:hAnsi="Times New Roman"/>
              </w:rPr>
            </w:pPr>
          </w:p>
        </w:tc>
        <w:tc>
          <w:tcPr>
            <w:tcW w:w="2424" w:type="dxa"/>
          </w:tcPr>
          <w:p>
            <w:pPr>
              <w:jc w:val="left"/>
              <w:rPr>
                <w:rFonts w:ascii="Times New Roman" w:hAnsi="Times New Roman"/>
              </w:rPr>
            </w:pPr>
          </w:p>
        </w:tc>
        <w:tc>
          <w:tcPr>
            <w:tcW w:w="1056" w:type="dxa"/>
          </w:tcPr>
          <w:p>
            <w:pPr>
              <w:jc w:val="lef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056" w:type="dxa"/>
            <w:shd w:val="clear" w:color="auto" w:fill="auto"/>
          </w:tcPr>
          <w:p>
            <w:pPr>
              <w:jc w:val="left"/>
              <w:rPr>
                <w:rFonts w:ascii="Times New Roman" w:hAnsi="Times New Roman"/>
              </w:rPr>
            </w:pPr>
          </w:p>
        </w:tc>
        <w:tc>
          <w:tcPr>
            <w:tcW w:w="1070" w:type="dxa"/>
            <w:shd w:val="clear" w:color="auto" w:fill="auto"/>
          </w:tcPr>
          <w:p>
            <w:pPr>
              <w:jc w:val="left"/>
              <w:rPr>
                <w:rFonts w:ascii="Times New Roman" w:hAnsi="Times New Roman"/>
              </w:rPr>
            </w:pPr>
          </w:p>
        </w:tc>
        <w:tc>
          <w:tcPr>
            <w:tcW w:w="2126" w:type="dxa"/>
            <w:shd w:val="clear" w:color="auto" w:fill="auto"/>
          </w:tcPr>
          <w:p>
            <w:pPr>
              <w:jc w:val="left"/>
              <w:rPr>
                <w:rFonts w:ascii="Times New Roman" w:hAnsi="Times New Roman"/>
              </w:rPr>
            </w:pPr>
          </w:p>
        </w:tc>
        <w:tc>
          <w:tcPr>
            <w:tcW w:w="1135" w:type="dxa"/>
            <w:shd w:val="clear" w:color="auto" w:fill="auto"/>
          </w:tcPr>
          <w:p>
            <w:pPr>
              <w:jc w:val="left"/>
              <w:rPr>
                <w:rFonts w:ascii="Times New Roman" w:hAnsi="Times New Roman"/>
              </w:rPr>
            </w:pPr>
          </w:p>
        </w:tc>
        <w:tc>
          <w:tcPr>
            <w:tcW w:w="1757" w:type="dxa"/>
            <w:shd w:val="clear" w:color="auto" w:fill="auto"/>
          </w:tcPr>
          <w:p>
            <w:pPr>
              <w:jc w:val="left"/>
              <w:rPr>
                <w:rFonts w:ascii="Times New Roman" w:hAnsi="Times New Roman"/>
              </w:rPr>
            </w:pPr>
          </w:p>
        </w:tc>
        <w:tc>
          <w:tcPr>
            <w:tcW w:w="1362" w:type="dxa"/>
            <w:shd w:val="clear" w:color="auto" w:fill="auto"/>
          </w:tcPr>
          <w:p>
            <w:pPr>
              <w:jc w:val="left"/>
              <w:rPr>
                <w:rFonts w:ascii="Times New Roman" w:hAnsi="Times New Roman"/>
              </w:rPr>
            </w:pPr>
          </w:p>
        </w:tc>
        <w:tc>
          <w:tcPr>
            <w:tcW w:w="2583" w:type="dxa"/>
            <w:shd w:val="clear" w:color="auto" w:fill="auto"/>
          </w:tcPr>
          <w:p>
            <w:pPr>
              <w:jc w:val="left"/>
              <w:rPr>
                <w:rFonts w:ascii="Times New Roman" w:hAnsi="Times New Roman"/>
              </w:rPr>
            </w:pPr>
          </w:p>
        </w:tc>
        <w:tc>
          <w:tcPr>
            <w:tcW w:w="1166" w:type="dxa"/>
          </w:tcPr>
          <w:p>
            <w:pPr>
              <w:jc w:val="left"/>
              <w:rPr>
                <w:rFonts w:ascii="Times New Roman" w:hAnsi="Times New Roman"/>
              </w:rPr>
            </w:pPr>
          </w:p>
        </w:tc>
        <w:tc>
          <w:tcPr>
            <w:tcW w:w="2424" w:type="dxa"/>
          </w:tcPr>
          <w:p>
            <w:pPr>
              <w:jc w:val="left"/>
              <w:rPr>
                <w:rFonts w:ascii="Times New Roman" w:hAnsi="Times New Roman"/>
              </w:rPr>
            </w:pPr>
          </w:p>
        </w:tc>
        <w:tc>
          <w:tcPr>
            <w:tcW w:w="1056" w:type="dxa"/>
          </w:tcPr>
          <w:p>
            <w:pPr>
              <w:jc w:val="lef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056" w:type="dxa"/>
            <w:shd w:val="clear" w:color="auto" w:fill="auto"/>
          </w:tcPr>
          <w:p>
            <w:pPr>
              <w:jc w:val="left"/>
              <w:rPr>
                <w:rFonts w:ascii="Times New Roman" w:hAnsi="Times New Roman"/>
              </w:rPr>
            </w:pPr>
          </w:p>
        </w:tc>
        <w:tc>
          <w:tcPr>
            <w:tcW w:w="1070" w:type="dxa"/>
            <w:shd w:val="clear" w:color="auto" w:fill="auto"/>
          </w:tcPr>
          <w:p>
            <w:pPr>
              <w:jc w:val="left"/>
              <w:rPr>
                <w:rFonts w:ascii="Times New Roman" w:hAnsi="Times New Roman"/>
              </w:rPr>
            </w:pPr>
          </w:p>
        </w:tc>
        <w:tc>
          <w:tcPr>
            <w:tcW w:w="2126" w:type="dxa"/>
            <w:shd w:val="clear" w:color="auto" w:fill="auto"/>
          </w:tcPr>
          <w:p>
            <w:pPr>
              <w:jc w:val="left"/>
              <w:rPr>
                <w:rFonts w:ascii="Times New Roman" w:hAnsi="Times New Roman"/>
              </w:rPr>
            </w:pPr>
          </w:p>
        </w:tc>
        <w:tc>
          <w:tcPr>
            <w:tcW w:w="1135" w:type="dxa"/>
            <w:shd w:val="clear" w:color="auto" w:fill="auto"/>
          </w:tcPr>
          <w:p>
            <w:pPr>
              <w:jc w:val="left"/>
              <w:rPr>
                <w:rFonts w:ascii="Times New Roman" w:hAnsi="Times New Roman"/>
              </w:rPr>
            </w:pPr>
          </w:p>
        </w:tc>
        <w:tc>
          <w:tcPr>
            <w:tcW w:w="1757" w:type="dxa"/>
            <w:shd w:val="clear" w:color="auto" w:fill="auto"/>
          </w:tcPr>
          <w:p>
            <w:pPr>
              <w:jc w:val="left"/>
              <w:rPr>
                <w:rFonts w:ascii="Times New Roman" w:hAnsi="Times New Roman"/>
              </w:rPr>
            </w:pPr>
          </w:p>
        </w:tc>
        <w:tc>
          <w:tcPr>
            <w:tcW w:w="1362" w:type="dxa"/>
            <w:shd w:val="clear" w:color="auto" w:fill="auto"/>
          </w:tcPr>
          <w:p>
            <w:pPr>
              <w:jc w:val="left"/>
              <w:rPr>
                <w:rFonts w:ascii="Times New Roman" w:hAnsi="Times New Roman"/>
              </w:rPr>
            </w:pPr>
          </w:p>
        </w:tc>
        <w:tc>
          <w:tcPr>
            <w:tcW w:w="2583" w:type="dxa"/>
            <w:shd w:val="clear" w:color="auto" w:fill="auto"/>
          </w:tcPr>
          <w:p>
            <w:pPr>
              <w:jc w:val="left"/>
              <w:rPr>
                <w:rFonts w:ascii="Times New Roman" w:hAnsi="Times New Roman"/>
              </w:rPr>
            </w:pPr>
          </w:p>
        </w:tc>
        <w:tc>
          <w:tcPr>
            <w:tcW w:w="1166" w:type="dxa"/>
          </w:tcPr>
          <w:p>
            <w:pPr>
              <w:jc w:val="left"/>
              <w:rPr>
                <w:rFonts w:ascii="Times New Roman" w:hAnsi="Times New Roman"/>
              </w:rPr>
            </w:pPr>
          </w:p>
        </w:tc>
        <w:tc>
          <w:tcPr>
            <w:tcW w:w="2424" w:type="dxa"/>
          </w:tcPr>
          <w:p>
            <w:pPr>
              <w:jc w:val="left"/>
              <w:rPr>
                <w:rFonts w:ascii="Times New Roman" w:hAnsi="Times New Roman"/>
              </w:rPr>
            </w:pPr>
          </w:p>
        </w:tc>
        <w:tc>
          <w:tcPr>
            <w:tcW w:w="1056" w:type="dxa"/>
          </w:tcPr>
          <w:p>
            <w:pPr>
              <w:jc w:val="lef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056" w:type="dxa"/>
            <w:shd w:val="clear" w:color="auto" w:fill="auto"/>
          </w:tcPr>
          <w:p>
            <w:pPr>
              <w:jc w:val="left"/>
              <w:rPr>
                <w:rFonts w:ascii="Times New Roman" w:hAnsi="Times New Roman"/>
              </w:rPr>
            </w:pPr>
            <w:r>
              <w:rPr>
                <w:rFonts w:ascii="Times New Roman"/>
              </w:rPr>
              <w:t>合计</w:t>
            </w:r>
          </w:p>
        </w:tc>
        <w:tc>
          <w:tcPr>
            <w:tcW w:w="1070" w:type="dxa"/>
            <w:shd w:val="clear" w:color="auto" w:fill="auto"/>
          </w:tcPr>
          <w:p>
            <w:pPr>
              <w:jc w:val="left"/>
              <w:rPr>
                <w:rFonts w:ascii="Times New Roman" w:hAnsi="Times New Roman"/>
              </w:rPr>
            </w:pPr>
          </w:p>
        </w:tc>
        <w:tc>
          <w:tcPr>
            <w:tcW w:w="2126" w:type="dxa"/>
            <w:shd w:val="clear" w:color="auto" w:fill="auto"/>
          </w:tcPr>
          <w:p>
            <w:pPr>
              <w:jc w:val="left"/>
              <w:rPr>
                <w:rFonts w:ascii="Times New Roman" w:hAnsi="Times New Roman"/>
              </w:rPr>
            </w:pPr>
          </w:p>
        </w:tc>
        <w:tc>
          <w:tcPr>
            <w:tcW w:w="1135" w:type="dxa"/>
            <w:shd w:val="clear" w:color="auto" w:fill="auto"/>
          </w:tcPr>
          <w:p>
            <w:pPr>
              <w:jc w:val="left"/>
              <w:rPr>
                <w:rFonts w:ascii="Times New Roman" w:hAnsi="Times New Roman"/>
              </w:rPr>
            </w:pPr>
          </w:p>
        </w:tc>
        <w:tc>
          <w:tcPr>
            <w:tcW w:w="1757" w:type="dxa"/>
            <w:shd w:val="clear" w:color="auto" w:fill="auto"/>
          </w:tcPr>
          <w:p>
            <w:pPr>
              <w:jc w:val="left"/>
              <w:rPr>
                <w:rFonts w:ascii="Times New Roman" w:hAnsi="Times New Roman"/>
              </w:rPr>
            </w:pPr>
          </w:p>
        </w:tc>
        <w:tc>
          <w:tcPr>
            <w:tcW w:w="1362" w:type="dxa"/>
            <w:shd w:val="clear" w:color="auto" w:fill="auto"/>
          </w:tcPr>
          <w:p>
            <w:pPr>
              <w:jc w:val="left"/>
              <w:rPr>
                <w:rFonts w:ascii="Times New Roman" w:hAnsi="Times New Roman"/>
              </w:rPr>
            </w:pPr>
          </w:p>
        </w:tc>
        <w:tc>
          <w:tcPr>
            <w:tcW w:w="2583" w:type="dxa"/>
            <w:shd w:val="clear" w:color="auto" w:fill="auto"/>
          </w:tcPr>
          <w:p>
            <w:pPr>
              <w:jc w:val="left"/>
              <w:rPr>
                <w:rFonts w:ascii="Times New Roman" w:hAnsi="Times New Roman"/>
              </w:rPr>
            </w:pPr>
          </w:p>
        </w:tc>
        <w:tc>
          <w:tcPr>
            <w:tcW w:w="1166" w:type="dxa"/>
          </w:tcPr>
          <w:p>
            <w:pPr>
              <w:jc w:val="left"/>
              <w:rPr>
                <w:rFonts w:ascii="Times New Roman" w:hAnsi="Times New Roman"/>
              </w:rPr>
            </w:pPr>
          </w:p>
        </w:tc>
        <w:tc>
          <w:tcPr>
            <w:tcW w:w="2424" w:type="dxa"/>
          </w:tcPr>
          <w:p>
            <w:pPr>
              <w:jc w:val="left"/>
              <w:rPr>
                <w:rFonts w:ascii="Times New Roman" w:hAnsi="Times New Roman"/>
              </w:rPr>
            </w:pPr>
          </w:p>
        </w:tc>
        <w:tc>
          <w:tcPr>
            <w:tcW w:w="1056" w:type="dxa"/>
          </w:tcPr>
          <w:p>
            <w:pPr>
              <w:jc w:val="left"/>
              <w:rPr>
                <w:rFonts w:ascii="Times New Roman" w:hAnsi="Times New Roman"/>
              </w:rPr>
            </w:pPr>
          </w:p>
        </w:tc>
      </w:tr>
    </w:tbl>
    <w:p>
      <w:pPr>
        <w:spacing w:line="440" w:lineRule="exact"/>
        <w:jc w:val="left"/>
        <w:rPr>
          <w:rFonts w:ascii="Times New Roman"/>
        </w:rPr>
      </w:pPr>
      <w:r>
        <w:rPr>
          <w:rFonts w:ascii="Times New Roman"/>
        </w:rPr>
        <w:t>注：每种废物请填写合计量</w:t>
      </w:r>
    </w:p>
    <w:p>
      <w:pPr>
        <w:spacing w:line="440" w:lineRule="exact"/>
        <w:jc w:val="left"/>
        <w:rPr>
          <w:rFonts w:ascii="Times New Roman" w:hAnsi="Times New Roman"/>
        </w:rPr>
      </w:pPr>
      <w:r>
        <w:rPr>
          <w:rFonts w:ascii="Times New Roman"/>
        </w:rPr>
        <w:t>首次申请不需填写</w:t>
      </w:r>
    </w:p>
    <w:sectPr>
      <w:pgSz w:w="16838" w:h="11906" w:orient="landscape"/>
      <w:pgMar w:top="1797" w:right="1440" w:bottom="1134"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Helvetica Neue">
    <w:altName w:val="Malgun Gothic"/>
    <w:panose1 w:val="00000000000000000000"/>
    <w:charset w:val="00"/>
    <w:family w:val="auto"/>
    <w:pitch w:val="default"/>
    <w:sig w:usb0="00000000" w:usb1="00000000" w:usb2="00000010" w:usb3="00000000" w:csb0="00000001" w:csb1="00000000"/>
  </w:font>
  <w:font w:name="仿宋_GB2312">
    <w:altName w:val="仿宋"/>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 w:name="Malgun Gothic">
    <w:panose1 w:val="020B0503020000020004"/>
    <w:charset w:val="81"/>
    <w:family w:val="auto"/>
    <w:pitch w:val="default"/>
    <w:sig w:usb0="9000002F" w:usb1="29D77CFB" w:usb2="00000012" w:usb3="00000000" w:csb0="0008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682080"/>
    <w:multiLevelType w:val="multilevel"/>
    <w:tmpl w:val="35682080"/>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E0ZjFmNGM3MDUwMzEwODIwNGZlMmE5Y2Y1OTcxOTQifQ=="/>
  </w:docVars>
  <w:rsids>
    <w:rsidRoot w:val="00513EC0"/>
    <w:rsid w:val="00000BBF"/>
    <w:rsid w:val="00000E90"/>
    <w:rsid w:val="000036A3"/>
    <w:rsid w:val="00007DBF"/>
    <w:rsid w:val="000105BB"/>
    <w:rsid w:val="00012FDA"/>
    <w:rsid w:val="00017FC7"/>
    <w:rsid w:val="00020D13"/>
    <w:rsid w:val="00021CE0"/>
    <w:rsid w:val="000262BA"/>
    <w:rsid w:val="00027076"/>
    <w:rsid w:val="00032D57"/>
    <w:rsid w:val="000430B3"/>
    <w:rsid w:val="00043422"/>
    <w:rsid w:val="000443D1"/>
    <w:rsid w:val="00076ED4"/>
    <w:rsid w:val="000804A0"/>
    <w:rsid w:val="00085C50"/>
    <w:rsid w:val="000919BD"/>
    <w:rsid w:val="00091DB3"/>
    <w:rsid w:val="0009659E"/>
    <w:rsid w:val="000B1B33"/>
    <w:rsid w:val="000B6F71"/>
    <w:rsid w:val="000C1ECB"/>
    <w:rsid w:val="000D21D6"/>
    <w:rsid w:val="000D35F1"/>
    <w:rsid w:val="000F2298"/>
    <w:rsid w:val="000F7C39"/>
    <w:rsid w:val="00104A51"/>
    <w:rsid w:val="00104D33"/>
    <w:rsid w:val="00105FDD"/>
    <w:rsid w:val="00122176"/>
    <w:rsid w:val="00124074"/>
    <w:rsid w:val="00126937"/>
    <w:rsid w:val="00126B36"/>
    <w:rsid w:val="001302A0"/>
    <w:rsid w:val="00133738"/>
    <w:rsid w:val="0014452C"/>
    <w:rsid w:val="00147B3C"/>
    <w:rsid w:val="001511A2"/>
    <w:rsid w:val="00160C8B"/>
    <w:rsid w:val="0016260F"/>
    <w:rsid w:val="00166F7C"/>
    <w:rsid w:val="00167201"/>
    <w:rsid w:val="00192431"/>
    <w:rsid w:val="0019414A"/>
    <w:rsid w:val="001A5ED9"/>
    <w:rsid w:val="001B102A"/>
    <w:rsid w:val="001B3625"/>
    <w:rsid w:val="001B487D"/>
    <w:rsid w:val="001B5962"/>
    <w:rsid w:val="001B75E2"/>
    <w:rsid w:val="001B79BA"/>
    <w:rsid w:val="001C1090"/>
    <w:rsid w:val="001C4293"/>
    <w:rsid w:val="001C7CDF"/>
    <w:rsid w:val="001C7EC8"/>
    <w:rsid w:val="001D0076"/>
    <w:rsid w:val="001D4BC0"/>
    <w:rsid w:val="001D5772"/>
    <w:rsid w:val="001E0A6B"/>
    <w:rsid w:val="001F09C1"/>
    <w:rsid w:val="001F1AB7"/>
    <w:rsid w:val="001F5901"/>
    <w:rsid w:val="00200D22"/>
    <w:rsid w:val="00207B7D"/>
    <w:rsid w:val="00207ED9"/>
    <w:rsid w:val="0021641B"/>
    <w:rsid w:val="002173E1"/>
    <w:rsid w:val="00222FD3"/>
    <w:rsid w:val="0023693D"/>
    <w:rsid w:val="002374CD"/>
    <w:rsid w:val="00241377"/>
    <w:rsid w:val="00250209"/>
    <w:rsid w:val="002529B9"/>
    <w:rsid w:val="00254134"/>
    <w:rsid w:val="00255065"/>
    <w:rsid w:val="00264524"/>
    <w:rsid w:val="0026689F"/>
    <w:rsid w:val="002733FD"/>
    <w:rsid w:val="00285E97"/>
    <w:rsid w:val="00291966"/>
    <w:rsid w:val="002A48F9"/>
    <w:rsid w:val="002A5CEA"/>
    <w:rsid w:val="002A6FDB"/>
    <w:rsid w:val="002B2ADF"/>
    <w:rsid w:val="002B33DF"/>
    <w:rsid w:val="002B53B7"/>
    <w:rsid w:val="002B7A71"/>
    <w:rsid w:val="002C4A8B"/>
    <w:rsid w:val="002C6403"/>
    <w:rsid w:val="002D1640"/>
    <w:rsid w:val="002F0B97"/>
    <w:rsid w:val="002F6BDB"/>
    <w:rsid w:val="00300F4A"/>
    <w:rsid w:val="003048E9"/>
    <w:rsid w:val="003148A5"/>
    <w:rsid w:val="00317747"/>
    <w:rsid w:val="00321F99"/>
    <w:rsid w:val="00334566"/>
    <w:rsid w:val="00336EB5"/>
    <w:rsid w:val="00352174"/>
    <w:rsid w:val="00354609"/>
    <w:rsid w:val="00355ECB"/>
    <w:rsid w:val="00361393"/>
    <w:rsid w:val="00361720"/>
    <w:rsid w:val="003633C5"/>
    <w:rsid w:val="003657E7"/>
    <w:rsid w:val="003735AE"/>
    <w:rsid w:val="00373E82"/>
    <w:rsid w:val="00376418"/>
    <w:rsid w:val="003854DB"/>
    <w:rsid w:val="00393194"/>
    <w:rsid w:val="00393A31"/>
    <w:rsid w:val="003A57B5"/>
    <w:rsid w:val="003C3820"/>
    <w:rsid w:val="003C4060"/>
    <w:rsid w:val="003C7147"/>
    <w:rsid w:val="003C7894"/>
    <w:rsid w:val="003F094C"/>
    <w:rsid w:val="003F45A4"/>
    <w:rsid w:val="003F5AD9"/>
    <w:rsid w:val="003F5AE3"/>
    <w:rsid w:val="004021E8"/>
    <w:rsid w:val="004043BE"/>
    <w:rsid w:val="004054EB"/>
    <w:rsid w:val="0040639F"/>
    <w:rsid w:val="00415E26"/>
    <w:rsid w:val="00423CE0"/>
    <w:rsid w:val="0042734B"/>
    <w:rsid w:val="0042773D"/>
    <w:rsid w:val="00430BAC"/>
    <w:rsid w:val="004336C7"/>
    <w:rsid w:val="0044064F"/>
    <w:rsid w:val="00447E1C"/>
    <w:rsid w:val="004515DE"/>
    <w:rsid w:val="004572EB"/>
    <w:rsid w:val="00475931"/>
    <w:rsid w:val="00482662"/>
    <w:rsid w:val="004853E4"/>
    <w:rsid w:val="00485D9F"/>
    <w:rsid w:val="004945E2"/>
    <w:rsid w:val="004969E8"/>
    <w:rsid w:val="0049733F"/>
    <w:rsid w:val="004C2A1A"/>
    <w:rsid w:val="004E06AB"/>
    <w:rsid w:val="004E1C81"/>
    <w:rsid w:val="004F2E3F"/>
    <w:rsid w:val="004F6AD9"/>
    <w:rsid w:val="005078A6"/>
    <w:rsid w:val="005110B2"/>
    <w:rsid w:val="00512B7C"/>
    <w:rsid w:val="00513EC0"/>
    <w:rsid w:val="005174FE"/>
    <w:rsid w:val="005248C7"/>
    <w:rsid w:val="00533E30"/>
    <w:rsid w:val="005510D6"/>
    <w:rsid w:val="005510E1"/>
    <w:rsid w:val="005542B2"/>
    <w:rsid w:val="00560A1E"/>
    <w:rsid w:val="005646C6"/>
    <w:rsid w:val="00575708"/>
    <w:rsid w:val="00576C93"/>
    <w:rsid w:val="00593AD5"/>
    <w:rsid w:val="005A5E7B"/>
    <w:rsid w:val="005A6A10"/>
    <w:rsid w:val="005C1658"/>
    <w:rsid w:val="005D68CF"/>
    <w:rsid w:val="005D7878"/>
    <w:rsid w:val="005F4DA8"/>
    <w:rsid w:val="006031BE"/>
    <w:rsid w:val="006035E4"/>
    <w:rsid w:val="00606239"/>
    <w:rsid w:val="00610579"/>
    <w:rsid w:val="00627A6D"/>
    <w:rsid w:val="00635E3D"/>
    <w:rsid w:val="00640D16"/>
    <w:rsid w:val="006434D2"/>
    <w:rsid w:val="00644237"/>
    <w:rsid w:val="00645E31"/>
    <w:rsid w:val="006461CF"/>
    <w:rsid w:val="00647E0E"/>
    <w:rsid w:val="00650FA2"/>
    <w:rsid w:val="00661DE7"/>
    <w:rsid w:val="006630DC"/>
    <w:rsid w:val="00667529"/>
    <w:rsid w:val="00676D55"/>
    <w:rsid w:val="00683B0C"/>
    <w:rsid w:val="0068749D"/>
    <w:rsid w:val="006B331C"/>
    <w:rsid w:val="006B37CF"/>
    <w:rsid w:val="006B4111"/>
    <w:rsid w:val="006B6180"/>
    <w:rsid w:val="006C152D"/>
    <w:rsid w:val="006C7F51"/>
    <w:rsid w:val="006E4585"/>
    <w:rsid w:val="006E4821"/>
    <w:rsid w:val="006F59F0"/>
    <w:rsid w:val="00710246"/>
    <w:rsid w:val="00710CD7"/>
    <w:rsid w:val="00711CBC"/>
    <w:rsid w:val="00715F8C"/>
    <w:rsid w:val="007222A9"/>
    <w:rsid w:val="007226B8"/>
    <w:rsid w:val="00734CDF"/>
    <w:rsid w:val="00735F58"/>
    <w:rsid w:val="007361CF"/>
    <w:rsid w:val="00741BE1"/>
    <w:rsid w:val="007464E9"/>
    <w:rsid w:val="007573B9"/>
    <w:rsid w:val="00775203"/>
    <w:rsid w:val="0078113D"/>
    <w:rsid w:val="00785914"/>
    <w:rsid w:val="007933AB"/>
    <w:rsid w:val="0079387E"/>
    <w:rsid w:val="00796726"/>
    <w:rsid w:val="007A30BE"/>
    <w:rsid w:val="007B0117"/>
    <w:rsid w:val="007B77B0"/>
    <w:rsid w:val="007C36F4"/>
    <w:rsid w:val="007C6333"/>
    <w:rsid w:val="007D0CEF"/>
    <w:rsid w:val="007D1710"/>
    <w:rsid w:val="007D44CE"/>
    <w:rsid w:val="007E1124"/>
    <w:rsid w:val="007E3213"/>
    <w:rsid w:val="007E3FD2"/>
    <w:rsid w:val="007E5228"/>
    <w:rsid w:val="00804661"/>
    <w:rsid w:val="008103B4"/>
    <w:rsid w:val="00810D10"/>
    <w:rsid w:val="00814B23"/>
    <w:rsid w:val="0081571C"/>
    <w:rsid w:val="00821B8F"/>
    <w:rsid w:val="00821DAF"/>
    <w:rsid w:val="00823D5E"/>
    <w:rsid w:val="008273BC"/>
    <w:rsid w:val="00830D66"/>
    <w:rsid w:val="00835F45"/>
    <w:rsid w:val="00843619"/>
    <w:rsid w:val="00860475"/>
    <w:rsid w:val="008641E2"/>
    <w:rsid w:val="008646DA"/>
    <w:rsid w:val="00872D75"/>
    <w:rsid w:val="00875F9E"/>
    <w:rsid w:val="00886A9F"/>
    <w:rsid w:val="00886F6F"/>
    <w:rsid w:val="00895392"/>
    <w:rsid w:val="008958B2"/>
    <w:rsid w:val="00896E96"/>
    <w:rsid w:val="008A087F"/>
    <w:rsid w:val="008A3F4D"/>
    <w:rsid w:val="008A4BB4"/>
    <w:rsid w:val="008B4188"/>
    <w:rsid w:val="008B6F28"/>
    <w:rsid w:val="008C0659"/>
    <w:rsid w:val="008C09A5"/>
    <w:rsid w:val="008C1D8D"/>
    <w:rsid w:val="008C3BDE"/>
    <w:rsid w:val="008D0278"/>
    <w:rsid w:val="008D3DBE"/>
    <w:rsid w:val="008D67BC"/>
    <w:rsid w:val="008E1A03"/>
    <w:rsid w:val="008E228C"/>
    <w:rsid w:val="008E6C24"/>
    <w:rsid w:val="008E7AB7"/>
    <w:rsid w:val="008F4618"/>
    <w:rsid w:val="00912642"/>
    <w:rsid w:val="009240AC"/>
    <w:rsid w:val="00925004"/>
    <w:rsid w:val="009331E1"/>
    <w:rsid w:val="0093539F"/>
    <w:rsid w:val="009462B5"/>
    <w:rsid w:val="0098563C"/>
    <w:rsid w:val="00994730"/>
    <w:rsid w:val="00994E99"/>
    <w:rsid w:val="009A030E"/>
    <w:rsid w:val="009A4FBD"/>
    <w:rsid w:val="009A51A6"/>
    <w:rsid w:val="009A7F75"/>
    <w:rsid w:val="009D47F8"/>
    <w:rsid w:val="009D6467"/>
    <w:rsid w:val="009D7EE4"/>
    <w:rsid w:val="009F3A6B"/>
    <w:rsid w:val="009F780D"/>
    <w:rsid w:val="00A025BE"/>
    <w:rsid w:val="00A033C7"/>
    <w:rsid w:val="00A07EF2"/>
    <w:rsid w:val="00A20275"/>
    <w:rsid w:val="00A22006"/>
    <w:rsid w:val="00A220CE"/>
    <w:rsid w:val="00A2227B"/>
    <w:rsid w:val="00A23239"/>
    <w:rsid w:val="00A35B5C"/>
    <w:rsid w:val="00A4364D"/>
    <w:rsid w:val="00A50BDE"/>
    <w:rsid w:val="00A5276F"/>
    <w:rsid w:val="00A539AB"/>
    <w:rsid w:val="00A64906"/>
    <w:rsid w:val="00A6700A"/>
    <w:rsid w:val="00A7233D"/>
    <w:rsid w:val="00A72679"/>
    <w:rsid w:val="00A72B26"/>
    <w:rsid w:val="00A93A49"/>
    <w:rsid w:val="00A9449B"/>
    <w:rsid w:val="00A949E8"/>
    <w:rsid w:val="00AA03F0"/>
    <w:rsid w:val="00AA0C4E"/>
    <w:rsid w:val="00AC165D"/>
    <w:rsid w:val="00AC2983"/>
    <w:rsid w:val="00AC29A2"/>
    <w:rsid w:val="00AD237F"/>
    <w:rsid w:val="00AD5E55"/>
    <w:rsid w:val="00AE2536"/>
    <w:rsid w:val="00AF6B52"/>
    <w:rsid w:val="00AF6CC7"/>
    <w:rsid w:val="00B03D28"/>
    <w:rsid w:val="00B11E4C"/>
    <w:rsid w:val="00B12771"/>
    <w:rsid w:val="00B12B5B"/>
    <w:rsid w:val="00B17578"/>
    <w:rsid w:val="00B41C2B"/>
    <w:rsid w:val="00B43691"/>
    <w:rsid w:val="00B4628B"/>
    <w:rsid w:val="00B602C6"/>
    <w:rsid w:val="00B61679"/>
    <w:rsid w:val="00B758BB"/>
    <w:rsid w:val="00B80E5F"/>
    <w:rsid w:val="00B92695"/>
    <w:rsid w:val="00B94005"/>
    <w:rsid w:val="00BA3418"/>
    <w:rsid w:val="00BB01C8"/>
    <w:rsid w:val="00BC108A"/>
    <w:rsid w:val="00BD09D2"/>
    <w:rsid w:val="00BE27FC"/>
    <w:rsid w:val="00BF6669"/>
    <w:rsid w:val="00BF6889"/>
    <w:rsid w:val="00C06E74"/>
    <w:rsid w:val="00C0779D"/>
    <w:rsid w:val="00C11A05"/>
    <w:rsid w:val="00C121B4"/>
    <w:rsid w:val="00C12BD7"/>
    <w:rsid w:val="00C246D1"/>
    <w:rsid w:val="00C31E8E"/>
    <w:rsid w:val="00C33AF6"/>
    <w:rsid w:val="00C34EE6"/>
    <w:rsid w:val="00C36A96"/>
    <w:rsid w:val="00C44C4F"/>
    <w:rsid w:val="00C47C96"/>
    <w:rsid w:val="00C53CB2"/>
    <w:rsid w:val="00C578AE"/>
    <w:rsid w:val="00C71FE8"/>
    <w:rsid w:val="00C76F1F"/>
    <w:rsid w:val="00C81F35"/>
    <w:rsid w:val="00C85F7A"/>
    <w:rsid w:val="00C86C9C"/>
    <w:rsid w:val="00C91773"/>
    <w:rsid w:val="00CA2895"/>
    <w:rsid w:val="00CA6E9A"/>
    <w:rsid w:val="00CC2FCC"/>
    <w:rsid w:val="00CD0057"/>
    <w:rsid w:val="00CD5F3F"/>
    <w:rsid w:val="00CE1029"/>
    <w:rsid w:val="00CE75CF"/>
    <w:rsid w:val="00CF0253"/>
    <w:rsid w:val="00CF4AF9"/>
    <w:rsid w:val="00CF51C3"/>
    <w:rsid w:val="00D03386"/>
    <w:rsid w:val="00D3037D"/>
    <w:rsid w:val="00D3108B"/>
    <w:rsid w:val="00D443E5"/>
    <w:rsid w:val="00D51358"/>
    <w:rsid w:val="00D61851"/>
    <w:rsid w:val="00D658AA"/>
    <w:rsid w:val="00D67EB2"/>
    <w:rsid w:val="00D76B45"/>
    <w:rsid w:val="00D777E9"/>
    <w:rsid w:val="00D85F61"/>
    <w:rsid w:val="00D876F0"/>
    <w:rsid w:val="00D90DEC"/>
    <w:rsid w:val="00D91A52"/>
    <w:rsid w:val="00D93659"/>
    <w:rsid w:val="00DA2FE9"/>
    <w:rsid w:val="00DB0054"/>
    <w:rsid w:val="00DB40E1"/>
    <w:rsid w:val="00DB430D"/>
    <w:rsid w:val="00DB4D9A"/>
    <w:rsid w:val="00DB7943"/>
    <w:rsid w:val="00DC3E0E"/>
    <w:rsid w:val="00DC5324"/>
    <w:rsid w:val="00DC6934"/>
    <w:rsid w:val="00DD64E5"/>
    <w:rsid w:val="00DF1279"/>
    <w:rsid w:val="00DF6CD8"/>
    <w:rsid w:val="00DF7E0D"/>
    <w:rsid w:val="00E029E3"/>
    <w:rsid w:val="00E03C23"/>
    <w:rsid w:val="00E06953"/>
    <w:rsid w:val="00E10B2C"/>
    <w:rsid w:val="00E1171C"/>
    <w:rsid w:val="00E1523A"/>
    <w:rsid w:val="00E244BA"/>
    <w:rsid w:val="00E30BE1"/>
    <w:rsid w:val="00E332B6"/>
    <w:rsid w:val="00E33BF2"/>
    <w:rsid w:val="00E361A5"/>
    <w:rsid w:val="00E4195E"/>
    <w:rsid w:val="00E42A47"/>
    <w:rsid w:val="00E521B8"/>
    <w:rsid w:val="00E54D24"/>
    <w:rsid w:val="00E56996"/>
    <w:rsid w:val="00E62466"/>
    <w:rsid w:val="00E62BD8"/>
    <w:rsid w:val="00E66432"/>
    <w:rsid w:val="00E71ED3"/>
    <w:rsid w:val="00E74460"/>
    <w:rsid w:val="00E778A2"/>
    <w:rsid w:val="00E84148"/>
    <w:rsid w:val="00E85E28"/>
    <w:rsid w:val="00E87763"/>
    <w:rsid w:val="00E92B87"/>
    <w:rsid w:val="00E95267"/>
    <w:rsid w:val="00E952D0"/>
    <w:rsid w:val="00EA051E"/>
    <w:rsid w:val="00EA1241"/>
    <w:rsid w:val="00EA5992"/>
    <w:rsid w:val="00EA5D18"/>
    <w:rsid w:val="00EA61BB"/>
    <w:rsid w:val="00EB0E22"/>
    <w:rsid w:val="00EB5066"/>
    <w:rsid w:val="00EC3F05"/>
    <w:rsid w:val="00EC6123"/>
    <w:rsid w:val="00ED1BE5"/>
    <w:rsid w:val="00ED5626"/>
    <w:rsid w:val="00ED68AF"/>
    <w:rsid w:val="00EE1472"/>
    <w:rsid w:val="00EE14CE"/>
    <w:rsid w:val="00EE1E57"/>
    <w:rsid w:val="00EE6C27"/>
    <w:rsid w:val="00EE7A3C"/>
    <w:rsid w:val="00EE7DBE"/>
    <w:rsid w:val="00EF2566"/>
    <w:rsid w:val="00EF35DA"/>
    <w:rsid w:val="00F04045"/>
    <w:rsid w:val="00F21990"/>
    <w:rsid w:val="00F25645"/>
    <w:rsid w:val="00F32ABE"/>
    <w:rsid w:val="00F52EAA"/>
    <w:rsid w:val="00F56852"/>
    <w:rsid w:val="00F57C93"/>
    <w:rsid w:val="00F6103B"/>
    <w:rsid w:val="00F617C0"/>
    <w:rsid w:val="00F63642"/>
    <w:rsid w:val="00F6457F"/>
    <w:rsid w:val="00F66F84"/>
    <w:rsid w:val="00F72B46"/>
    <w:rsid w:val="00F749E1"/>
    <w:rsid w:val="00F7601B"/>
    <w:rsid w:val="00F817DC"/>
    <w:rsid w:val="00F83281"/>
    <w:rsid w:val="00F84038"/>
    <w:rsid w:val="00F86349"/>
    <w:rsid w:val="00F94D21"/>
    <w:rsid w:val="00FA2899"/>
    <w:rsid w:val="00FA6346"/>
    <w:rsid w:val="00FB4B6C"/>
    <w:rsid w:val="00FB678C"/>
    <w:rsid w:val="00FB6FE2"/>
    <w:rsid w:val="00FB7F64"/>
    <w:rsid w:val="00FD14D0"/>
    <w:rsid w:val="00FD1A83"/>
    <w:rsid w:val="00FD4377"/>
    <w:rsid w:val="00FD69F7"/>
    <w:rsid w:val="00FE15EF"/>
    <w:rsid w:val="00FE1A84"/>
    <w:rsid w:val="00FE1FAD"/>
    <w:rsid w:val="00FE6442"/>
    <w:rsid w:val="00FE6626"/>
    <w:rsid w:val="10A12841"/>
    <w:rsid w:val="24A76A89"/>
    <w:rsid w:val="2D7874EF"/>
    <w:rsid w:val="333F769B"/>
    <w:rsid w:val="394224BE"/>
    <w:rsid w:val="41A7683D"/>
    <w:rsid w:val="60C677C2"/>
    <w:rsid w:val="613E2BBC"/>
    <w:rsid w:val="66F6099C"/>
    <w:rsid w:val="6D8956A6"/>
    <w:rsid w:val="71297C8C"/>
    <w:rsid w:val="733733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570" w:lineRule="exact"/>
      <w:jc w:val="both"/>
    </w:pPr>
    <w:rPr>
      <w:rFonts w:ascii="Calibri" w:hAnsi="Calibri" w:eastAsia="宋体" w:cs="Times New Roman"/>
      <w:kern w:val="2"/>
      <w:sz w:val="21"/>
      <w:szCs w:val="22"/>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semiHidden/>
    <w:qFormat/>
    <w:uiPriority w:val="0"/>
    <w:pPr>
      <w:spacing w:line="520" w:lineRule="exact"/>
    </w:pPr>
    <w:rPr>
      <w:rFonts w:ascii="宋体" w:hAnsi="宋体"/>
      <w:sz w:val="24"/>
    </w:rPr>
  </w:style>
  <w:style w:type="paragraph" w:styleId="3">
    <w:name w:val="Plain Text"/>
    <w:basedOn w:val="1"/>
    <w:link w:val="11"/>
    <w:autoRedefine/>
    <w:semiHidden/>
    <w:unhideWhenUsed/>
    <w:qFormat/>
    <w:uiPriority w:val="99"/>
    <w:pPr>
      <w:spacing w:line="240" w:lineRule="auto"/>
    </w:pPr>
    <w:rPr>
      <w:rFonts w:ascii="宋体" w:hAnsi="Courier New" w:cs="Courier New"/>
      <w:szCs w:val="21"/>
    </w:rPr>
  </w:style>
  <w:style w:type="paragraph" w:styleId="4">
    <w:name w:val="Balloon Text"/>
    <w:basedOn w:val="1"/>
    <w:link w:val="13"/>
    <w:autoRedefine/>
    <w:semiHidden/>
    <w:unhideWhenUsed/>
    <w:qFormat/>
    <w:uiPriority w:val="99"/>
    <w:pPr>
      <w:spacing w:line="240" w:lineRule="auto"/>
    </w:pPr>
    <w:rPr>
      <w:sz w:val="18"/>
      <w:szCs w:val="18"/>
    </w:rPr>
  </w:style>
  <w:style w:type="paragraph" w:styleId="5">
    <w:name w:val="footer"/>
    <w:basedOn w:val="1"/>
    <w:link w:val="10"/>
    <w:autoRedefine/>
    <w:unhideWhenUsed/>
    <w:qFormat/>
    <w:uiPriority w:val="99"/>
    <w:pPr>
      <w:tabs>
        <w:tab w:val="center" w:pos="4153"/>
        <w:tab w:val="right" w:pos="8306"/>
      </w:tabs>
      <w:snapToGrid w:val="0"/>
      <w:jc w:val="left"/>
    </w:pPr>
    <w:rPr>
      <w:sz w:val="18"/>
      <w:szCs w:val="18"/>
    </w:rPr>
  </w:style>
  <w:style w:type="paragraph" w:styleId="6">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autoRedefine/>
    <w:qFormat/>
    <w:uiPriority w:val="99"/>
    <w:rPr>
      <w:sz w:val="18"/>
      <w:szCs w:val="18"/>
    </w:rPr>
  </w:style>
  <w:style w:type="character" w:customStyle="1" w:styleId="10">
    <w:name w:val="页脚 Char"/>
    <w:basedOn w:val="8"/>
    <w:link w:val="5"/>
    <w:autoRedefine/>
    <w:qFormat/>
    <w:uiPriority w:val="99"/>
    <w:rPr>
      <w:sz w:val="18"/>
      <w:szCs w:val="18"/>
    </w:rPr>
  </w:style>
  <w:style w:type="character" w:customStyle="1" w:styleId="11">
    <w:name w:val="纯文本 Char"/>
    <w:basedOn w:val="8"/>
    <w:link w:val="3"/>
    <w:autoRedefine/>
    <w:semiHidden/>
    <w:qFormat/>
    <w:uiPriority w:val="99"/>
    <w:rPr>
      <w:rFonts w:ascii="宋体" w:hAnsi="Courier New" w:eastAsia="宋体" w:cs="Courier New"/>
      <w:szCs w:val="21"/>
    </w:rPr>
  </w:style>
  <w:style w:type="paragraph" w:styleId="12">
    <w:name w:val="List Paragraph"/>
    <w:basedOn w:val="1"/>
    <w:autoRedefine/>
    <w:qFormat/>
    <w:uiPriority w:val="34"/>
    <w:pPr>
      <w:ind w:firstLine="420" w:firstLineChars="200"/>
    </w:pPr>
  </w:style>
  <w:style w:type="character" w:customStyle="1" w:styleId="13">
    <w:name w:val="批注框文本 Char"/>
    <w:basedOn w:val="8"/>
    <w:link w:val="4"/>
    <w:autoRedefine/>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677</Words>
  <Characters>3860</Characters>
  <Lines>32</Lines>
  <Paragraphs>9</Paragraphs>
  <TotalTime>3</TotalTime>
  <ScaleCrop>false</ScaleCrop>
  <LinksUpToDate>false</LinksUpToDate>
  <CharactersWithSpaces>4528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2024-03-28T01:43:00Z</dcterms:created>
  <dc:creator>acer</dc:creator>
  <cp:lastModifiedBy>陆婷婷</cp:lastModifiedBy>
  <cp:lastPrinted>2021-08-12T04:58:00Z</cp:lastPrinted>
  <dcterms:modified xsi:type="dcterms:W3CDTF">2024-04-10T07:41:54Z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9115BBAE5B3D4692861058BECC1BE5C1_13</vt:lpwstr>
  </property>
</Properties>
</file>