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81622D5">
      <w:pPr>
        <w:spacing w:before="45" w:line="218" w:lineRule="auto"/>
        <w:jc w:val="center"/>
        <w:rPr>
          <w:rFonts w:ascii="宋体" w:hAnsi="宋体" w:eastAsia="宋体" w:cs="宋体"/>
          <w:b/>
          <w:bCs/>
          <w:spacing w:val="-1"/>
          <w:sz w:val="43"/>
          <w:szCs w:val="43"/>
        </w:rPr>
      </w:pPr>
      <w:r>
        <w:rPr>
          <w:rFonts w:ascii="宋体" w:hAnsi="宋体" w:eastAsia="宋体" w:cs="宋体"/>
          <w:b/>
          <w:bCs/>
          <w:spacing w:val="-1"/>
          <w:sz w:val="43"/>
          <w:szCs w:val="43"/>
        </w:rPr>
        <w:t>苏州市相城区市场监督管理局</w:t>
      </w:r>
    </w:p>
    <w:p w14:paraId="15F1EF52">
      <w:pPr>
        <w:spacing w:before="45" w:line="218" w:lineRule="auto"/>
        <w:jc w:val="center"/>
        <w:rPr>
          <w:rFonts w:ascii="宋体" w:hAnsi="宋体" w:eastAsia="宋体" w:cs="宋体"/>
          <w:b/>
          <w:bCs/>
          <w:spacing w:val="-1"/>
          <w:sz w:val="43"/>
          <w:szCs w:val="43"/>
        </w:rPr>
      </w:pPr>
      <w:r>
        <w:rPr>
          <w:rFonts w:ascii="宋体" w:hAnsi="宋体" w:eastAsia="宋体" w:cs="宋体"/>
          <w:b/>
          <w:bCs/>
          <w:spacing w:val="-1"/>
          <w:sz w:val="43"/>
          <w:szCs w:val="43"/>
        </w:rPr>
        <w:t>行政处罚告知公告</w:t>
      </w:r>
    </w:p>
    <w:p w14:paraId="1CD2750A">
      <w:pPr>
        <w:pStyle w:val="2"/>
        <w:spacing w:line="328" w:lineRule="auto"/>
        <w:jc w:val="center"/>
        <w:rPr>
          <w:rFonts w:ascii="Arial"/>
          <w:sz w:val="21"/>
        </w:rPr>
      </w:pPr>
      <w:r>
        <w:rPr>
          <w:rFonts w:hint="eastAsia" w:ascii="楷体_GB2312" w:hAnsi="楷体_GB2312" w:eastAsia="楷体_GB2312" w:cs="楷体_GB2312"/>
          <w:sz w:val="32"/>
          <w:szCs w:val="32"/>
        </w:rPr>
        <w:t>（202</w:t>
      </w:r>
      <w:r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  <w:t>5</w:t>
      </w:r>
      <w:r>
        <w:rPr>
          <w:rFonts w:hint="eastAsia" w:ascii="楷体_GB2312" w:hAnsi="楷体_GB2312" w:eastAsia="楷体_GB2312" w:cs="楷体_GB2312"/>
          <w:sz w:val="32"/>
          <w:szCs w:val="32"/>
        </w:rPr>
        <w:t>年第</w:t>
      </w:r>
      <w:r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  <w:t>6</w:t>
      </w:r>
      <w:bookmarkStart w:id="0" w:name="_GoBack"/>
      <w:bookmarkEnd w:id="0"/>
      <w:r>
        <w:rPr>
          <w:rFonts w:hint="eastAsia" w:ascii="楷体_GB2312" w:hAnsi="楷体_GB2312" w:eastAsia="楷体_GB2312" w:cs="楷体_GB2312"/>
          <w:sz w:val="32"/>
          <w:szCs w:val="32"/>
        </w:rPr>
        <w:t>号）</w:t>
      </w:r>
    </w:p>
    <w:p w14:paraId="05CEC303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81" w:line="560" w:lineRule="exact"/>
        <w:jc w:val="left"/>
        <w:textAlignment w:val="baseline"/>
        <w:rPr>
          <w:rFonts w:hint="eastAsia" w:ascii="仿宋_GB2312" w:hAnsi="仿宋_GB2312" w:eastAsia="仿宋_GB2312" w:cs="仿宋_GB2312"/>
          <w:snapToGrid/>
          <w:color w:val="000000"/>
          <w:spacing w:val="4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snapToGrid/>
          <w:color w:val="000000"/>
          <w:spacing w:val="4"/>
          <w:kern w:val="2"/>
          <w:sz w:val="32"/>
          <w:szCs w:val="32"/>
          <w:lang w:val="en-US" w:eastAsia="zh-CN" w:bidi="ar-SA"/>
        </w:rPr>
        <w:t>苏州渝澄米面制品厂等13家企业(名单附后):</w:t>
      </w:r>
    </w:p>
    <w:p w14:paraId="30F8A37B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98" w:line="560" w:lineRule="exact"/>
        <w:ind w:right="50" w:firstLine="510"/>
        <w:jc w:val="left"/>
        <w:textAlignment w:val="baseline"/>
        <w:rPr>
          <w:rFonts w:hint="eastAsia" w:ascii="仿宋_GB2312" w:hAnsi="仿宋_GB2312" w:eastAsia="仿宋_GB2312" w:cs="仿宋_GB2312"/>
          <w:snapToGrid/>
          <w:color w:val="000000"/>
          <w:spacing w:val="4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snapToGrid/>
          <w:color w:val="000000"/>
          <w:spacing w:val="4"/>
          <w:kern w:val="2"/>
          <w:sz w:val="32"/>
          <w:szCs w:val="32"/>
          <w:lang w:val="en-US" w:eastAsia="zh-CN" w:bidi="ar-SA"/>
        </w:rPr>
        <w:t>由本局立案调查的你单位涉嫌成立后无正当理由超过六个月未开业，或者开业后自行停业连续六个月以上一案，已调查终结。根据《中华人民共和国行政处罚法》第四十四条、第四十五条、第六十三条、第六十四条第一项的规定，现将本局拟作出行政处罚的事实、理由、依据及处罚内容告知如下：</w:t>
      </w:r>
    </w:p>
    <w:p w14:paraId="1EF0C320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26" w:line="560" w:lineRule="exact"/>
        <w:ind w:firstLine="656" w:firstLineChars="200"/>
        <w:jc w:val="left"/>
        <w:textAlignment w:val="baseline"/>
        <w:rPr>
          <w:rFonts w:hint="eastAsia" w:ascii="仿宋_GB2312" w:hAnsi="仿宋_GB2312" w:eastAsia="仿宋_GB2312" w:cs="仿宋_GB2312"/>
          <w:snapToGrid/>
          <w:color w:val="000000"/>
          <w:spacing w:val="4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snapToGrid/>
          <w:color w:val="000000"/>
          <w:spacing w:val="4"/>
          <w:kern w:val="2"/>
          <w:sz w:val="32"/>
          <w:szCs w:val="32"/>
          <w:lang w:val="en-US" w:eastAsia="zh-CN" w:bidi="ar-SA"/>
        </w:rPr>
        <w:t>经查，当事人连续两年未在“国家企业信用信息公示系统(江苏)”报送并公示2022年度、2023年度的年度报告，且连续两年未进行纳税申报，同时，通过登记的住所 (经营场所)无法与当事人取得联系，我局于2025年01月15日发布《关于清理长期停业未经营企业的提示性公告》。公告期届满，当事人仍未履行法定义务，处于长期停业未经营状态。</w:t>
      </w:r>
    </w:p>
    <w:p w14:paraId="57E7B203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23" w:line="560" w:lineRule="exact"/>
        <w:ind w:firstLine="656" w:firstLineChars="200"/>
        <w:jc w:val="left"/>
        <w:textAlignment w:val="baseline"/>
        <w:rPr>
          <w:rFonts w:hint="eastAsia" w:ascii="仿宋_GB2312" w:hAnsi="仿宋_GB2312" w:eastAsia="仿宋_GB2312" w:cs="仿宋_GB2312"/>
          <w:snapToGrid/>
          <w:color w:val="000000"/>
          <w:spacing w:val="4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snapToGrid/>
          <w:color w:val="000000"/>
          <w:spacing w:val="4"/>
          <w:kern w:val="2"/>
          <w:sz w:val="32"/>
          <w:szCs w:val="32"/>
          <w:lang w:val="en-US" w:eastAsia="zh-CN" w:bidi="ar-SA"/>
        </w:rPr>
        <w:t>这一行为构成了《个人独资企业法》第三十六条“个人独资企业成立后无正当理由超过6个月未开业的，或者开业后自行停业连续6个月以上的，吊销营业执照”的规定。</w:t>
      </w:r>
    </w:p>
    <w:p w14:paraId="7E7E1BF3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21" w:line="560" w:lineRule="exact"/>
        <w:ind w:right="133" w:firstLine="510"/>
        <w:jc w:val="left"/>
        <w:textAlignment w:val="baseline"/>
        <w:rPr>
          <w:rFonts w:hint="eastAsia" w:ascii="仿宋_GB2312" w:hAnsi="仿宋_GB2312" w:eastAsia="仿宋_GB2312" w:cs="仿宋_GB2312"/>
          <w:snapToGrid/>
          <w:color w:val="000000"/>
          <w:spacing w:val="4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snapToGrid/>
          <w:color w:val="000000"/>
          <w:spacing w:val="4"/>
          <w:kern w:val="2"/>
          <w:sz w:val="32"/>
          <w:szCs w:val="32"/>
          <w:lang w:val="en-US" w:eastAsia="zh-CN" w:bidi="ar-SA"/>
        </w:rPr>
        <w:t>根据《个人独资企业法》第三十六条“个人独资企业成立后无正当理由超过6个月未开业的，或者开业后自行停业连续6个月以上的，吊销营业执照”的规定，我局拟对你单位作出吊销营业执照的行政处罚。</w:t>
      </w:r>
    </w:p>
    <w:p w14:paraId="01C234D6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22" w:line="560" w:lineRule="exact"/>
        <w:ind w:right="16" w:firstLine="510"/>
        <w:jc w:val="left"/>
        <w:textAlignment w:val="baseline"/>
        <w:rPr>
          <w:rFonts w:hint="eastAsia" w:ascii="仿宋_GB2312" w:hAnsi="仿宋_GB2312" w:eastAsia="仿宋_GB2312" w:cs="仿宋_GB2312"/>
          <w:snapToGrid/>
          <w:color w:val="000000"/>
          <w:spacing w:val="4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snapToGrid/>
          <w:color w:val="000000"/>
          <w:spacing w:val="4"/>
          <w:kern w:val="2"/>
          <w:sz w:val="32"/>
          <w:szCs w:val="32"/>
          <w:lang w:val="en-US" w:eastAsia="zh-CN" w:bidi="ar-SA"/>
        </w:rPr>
        <w:t>根据《中华人民共和国行政处罚法》第四十四条、第四十五条、第六十三条、第六十四条第一项，以及《市场监督管理行政处罚听证办法》第五条的规定，你(单位)有权进行陈述、申辩，并可以要求听证。如要求举行听证，可自本公告送达之日(本公告发布之日起经过三十日，视为送达)起五个工作日内以书面或口头形式提出举行听证的要求。逾期未提出的，视为放弃此权利。</w:t>
      </w:r>
    </w:p>
    <w:p w14:paraId="096F51D1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48" w:line="560" w:lineRule="exact"/>
        <w:ind w:left="510"/>
        <w:jc w:val="left"/>
        <w:textAlignment w:val="baseline"/>
        <w:rPr>
          <w:rFonts w:hint="eastAsia" w:ascii="仿宋_GB2312" w:hAnsi="仿宋_GB2312" w:eastAsia="仿宋_GB2312" w:cs="仿宋_GB2312"/>
          <w:snapToGrid/>
          <w:color w:val="000000"/>
          <w:spacing w:val="4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snapToGrid/>
          <w:color w:val="000000"/>
          <w:spacing w:val="4"/>
          <w:kern w:val="2"/>
          <w:sz w:val="32"/>
          <w:szCs w:val="32"/>
          <w:lang w:val="en-US" w:eastAsia="zh-CN" w:bidi="ar-SA"/>
        </w:rPr>
        <w:t>联系人：宋方旭、王鹏</w:t>
      </w:r>
    </w:p>
    <w:p w14:paraId="28C79AC1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42" w:line="560" w:lineRule="exact"/>
        <w:ind w:left="510"/>
        <w:jc w:val="left"/>
        <w:textAlignment w:val="baseline"/>
        <w:rPr>
          <w:rFonts w:hint="eastAsia" w:ascii="仿宋_GB2312" w:hAnsi="仿宋_GB2312" w:eastAsia="仿宋_GB2312" w:cs="仿宋_GB2312"/>
          <w:snapToGrid/>
          <w:color w:val="000000"/>
          <w:spacing w:val="4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snapToGrid/>
          <w:color w:val="000000"/>
          <w:spacing w:val="4"/>
          <w:kern w:val="2"/>
          <w:sz w:val="32"/>
          <w:szCs w:val="32"/>
          <w:lang w:val="en-US" w:eastAsia="zh-CN" w:bidi="ar-SA"/>
        </w:rPr>
        <w:t>联系电话：0512-66183020</w:t>
      </w:r>
    </w:p>
    <w:p w14:paraId="1A38F2A7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jc w:val="left"/>
        <w:textAlignment w:val="baseline"/>
        <w:rPr>
          <w:rFonts w:hint="eastAsia" w:ascii="仿宋_GB2312" w:hAnsi="仿宋_GB2312" w:eastAsia="仿宋_GB2312" w:cs="仿宋_GB2312"/>
          <w:snapToGrid/>
          <w:color w:val="000000"/>
          <w:spacing w:val="4"/>
          <w:kern w:val="2"/>
          <w:sz w:val="32"/>
          <w:szCs w:val="32"/>
          <w:lang w:val="en-US" w:eastAsia="zh-CN" w:bidi="ar-SA"/>
        </w:rPr>
      </w:pPr>
    </w:p>
    <w:p w14:paraId="7F1888FC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81" w:line="560" w:lineRule="exact"/>
        <w:ind w:left="510"/>
        <w:jc w:val="left"/>
        <w:textAlignment w:val="baseline"/>
        <w:rPr>
          <w:rFonts w:hint="eastAsia" w:ascii="仿宋_GB2312" w:hAnsi="仿宋_GB2312" w:eastAsia="仿宋_GB2312" w:cs="仿宋_GB2312"/>
          <w:snapToGrid/>
          <w:color w:val="000000"/>
          <w:spacing w:val="4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snapToGrid/>
          <w:color w:val="000000"/>
          <w:spacing w:val="4"/>
          <w:kern w:val="2"/>
          <w:sz w:val="32"/>
          <w:szCs w:val="32"/>
          <w:lang w:val="en-US" w:eastAsia="zh-CN" w:bidi="ar-SA"/>
        </w:rPr>
        <w:t>附：拟吊销长期停业未经营企业名单(13户)</w:t>
      </w:r>
    </w:p>
    <w:p w14:paraId="764CB7CA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jc w:val="right"/>
        <w:textAlignment w:val="baseline"/>
        <w:rPr>
          <w:rFonts w:hint="eastAsia" w:ascii="仿宋_GB2312" w:hAnsi="仿宋_GB2312" w:eastAsia="仿宋_GB2312" w:cs="仿宋_GB2312"/>
          <w:snapToGrid/>
          <w:color w:val="000000"/>
          <w:spacing w:val="4"/>
          <w:kern w:val="2"/>
          <w:sz w:val="32"/>
          <w:szCs w:val="32"/>
          <w:lang w:val="en-US" w:eastAsia="zh-CN" w:bidi="ar-SA"/>
        </w:rPr>
      </w:pPr>
    </w:p>
    <w:p w14:paraId="765F3D90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82" w:line="560" w:lineRule="exact"/>
        <w:ind w:firstLine="3936" w:firstLineChars="1200"/>
        <w:jc w:val="right"/>
        <w:textAlignment w:val="baseline"/>
        <w:rPr>
          <w:rFonts w:hint="eastAsia" w:ascii="仿宋_GB2312" w:hAnsi="仿宋_GB2312" w:eastAsia="仿宋_GB2312" w:cs="仿宋_GB2312"/>
          <w:snapToGrid/>
          <w:color w:val="000000"/>
          <w:spacing w:val="4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snapToGrid/>
          <w:color w:val="000000"/>
          <w:spacing w:val="4"/>
          <w:kern w:val="2"/>
          <w:sz w:val="32"/>
          <w:szCs w:val="32"/>
          <w:lang w:val="en-US" w:eastAsia="zh-CN" w:bidi="ar-SA"/>
        </w:rPr>
        <w:t>苏州市相城区市场监督管理局</w:t>
      </w:r>
    </w:p>
    <w:p w14:paraId="18D39368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82" w:line="560" w:lineRule="exact"/>
        <w:ind w:firstLine="5576" w:firstLineChars="1700"/>
        <w:jc w:val="both"/>
        <w:textAlignment w:val="baseline"/>
        <w:rPr>
          <w:rFonts w:hint="eastAsia" w:ascii="仿宋_GB2312" w:hAnsi="仿宋_GB2312" w:eastAsia="仿宋_GB2312" w:cs="仿宋_GB2312"/>
          <w:snapToGrid/>
          <w:color w:val="000000"/>
          <w:spacing w:val="4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snapToGrid/>
          <w:color w:val="000000"/>
          <w:spacing w:val="4"/>
          <w:kern w:val="2"/>
          <w:sz w:val="32"/>
          <w:szCs w:val="32"/>
          <w:lang w:val="en-US" w:eastAsia="zh-CN" w:bidi="ar-SA"/>
        </w:rPr>
        <w:t>2025年05月06日</w:t>
      </w:r>
    </w:p>
    <w:p w14:paraId="77BE088D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82" w:line="560" w:lineRule="exact"/>
        <w:ind w:firstLine="5576" w:firstLineChars="1700"/>
        <w:jc w:val="both"/>
        <w:textAlignment w:val="baseline"/>
        <w:rPr>
          <w:rFonts w:hint="eastAsia" w:ascii="仿宋_GB2312" w:hAnsi="仿宋_GB2312" w:eastAsia="仿宋_GB2312" w:cs="仿宋_GB2312"/>
          <w:snapToGrid/>
          <w:color w:val="000000"/>
          <w:spacing w:val="4"/>
          <w:kern w:val="2"/>
          <w:sz w:val="32"/>
          <w:szCs w:val="32"/>
          <w:lang w:val="en-US" w:eastAsia="zh-CN" w:bidi="ar-SA"/>
        </w:rPr>
      </w:pPr>
    </w:p>
    <w:p w14:paraId="051B5966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82" w:line="560" w:lineRule="exact"/>
        <w:ind w:firstLine="5576" w:firstLineChars="1700"/>
        <w:jc w:val="both"/>
        <w:textAlignment w:val="baseline"/>
        <w:rPr>
          <w:rFonts w:hint="eastAsia" w:ascii="仿宋_GB2312" w:hAnsi="仿宋_GB2312" w:eastAsia="仿宋_GB2312" w:cs="仿宋_GB2312"/>
          <w:snapToGrid/>
          <w:color w:val="000000"/>
          <w:spacing w:val="4"/>
          <w:kern w:val="2"/>
          <w:sz w:val="32"/>
          <w:szCs w:val="32"/>
          <w:lang w:val="en-US" w:eastAsia="zh-CN" w:bidi="ar-SA"/>
        </w:rPr>
      </w:pPr>
    </w:p>
    <w:p w14:paraId="41600A77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82" w:line="560" w:lineRule="exact"/>
        <w:ind w:firstLine="5576" w:firstLineChars="1700"/>
        <w:jc w:val="both"/>
        <w:textAlignment w:val="baseline"/>
        <w:rPr>
          <w:rFonts w:hint="eastAsia" w:ascii="仿宋_GB2312" w:hAnsi="仿宋_GB2312" w:eastAsia="仿宋_GB2312" w:cs="仿宋_GB2312"/>
          <w:snapToGrid/>
          <w:color w:val="000000"/>
          <w:spacing w:val="4"/>
          <w:kern w:val="2"/>
          <w:sz w:val="32"/>
          <w:szCs w:val="32"/>
          <w:lang w:val="en-US" w:eastAsia="zh-CN" w:bidi="ar-SA"/>
        </w:rPr>
      </w:pPr>
    </w:p>
    <w:p w14:paraId="5CC650DF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82" w:line="560" w:lineRule="exact"/>
        <w:ind w:firstLine="5576" w:firstLineChars="1700"/>
        <w:jc w:val="both"/>
        <w:textAlignment w:val="baseline"/>
        <w:rPr>
          <w:rFonts w:hint="eastAsia" w:ascii="仿宋_GB2312" w:hAnsi="仿宋_GB2312" w:eastAsia="仿宋_GB2312" w:cs="仿宋_GB2312"/>
          <w:snapToGrid/>
          <w:color w:val="000000"/>
          <w:spacing w:val="4"/>
          <w:kern w:val="2"/>
          <w:sz w:val="32"/>
          <w:szCs w:val="32"/>
          <w:lang w:val="en-US" w:eastAsia="zh-CN" w:bidi="ar-SA"/>
        </w:rPr>
      </w:pPr>
    </w:p>
    <w:p w14:paraId="093E5BBE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82" w:line="560" w:lineRule="exact"/>
        <w:ind w:firstLine="5576" w:firstLineChars="1700"/>
        <w:jc w:val="both"/>
        <w:textAlignment w:val="baseline"/>
        <w:rPr>
          <w:rFonts w:hint="eastAsia" w:ascii="仿宋_GB2312" w:hAnsi="仿宋_GB2312" w:eastAsia="仿宋_GB2312" w:cs="仿宋_GB2312"/>
          <w:snapToGrid/>
          <w:color w:val="000000"/>
          <w:spacing w:val="4"/>
          <w:kern w:val="2"/>
          <w:sz w:val="32"/>
          <w:szCs w:val="32"/>
          <w:lang w:val="en-US" w:eastAsia="zh-CN" w:bidi="ar-SA"/>
        </w:rPr>
      </w:pPr>
    </w:p>
    <w:p w14:paraId="06D58ADC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82" w:line="560" w:lineRule="exact"/>
        <w:ind w:firstLine="5576" w:firstLineChars="1700"/>
        <w:jc w:val="both"/>
        <w:textAlignment w:val="baseline"/>
        <w:rPr>
          <w:rFonts w:hint="eastAsia" w:ascii="仿宋_GB2312" w:hAnsi="仿宋_GB2312" w:eastAsia="仿宋_GB2312" w:cs="仿宋_GB2312"/>
          <w:snapToGrid/>
          <w:color w:val="000000"/>
          <w:spacing w:val="4"/>
          <w:kern w:val="2"/>
          <w:sz w:val="32"/>
          <w:szCs w:val="32"/>
          <w:lang w:val="en-US" w:eastAsia="zh-CN" w:bidi="ar-SA"/>
        </w:rPr>
      </w:pPr>
    </w:p>
    <w:p w14:paraId="014D33FB">
      <w:pPr>
        <w:spacing w:before="108" w:line="221" w:lineRule="auto"/>
        <w:ind w:left="20"/>
        <w:rPr>
          <w:rFonts w:ascii="仿宋" w:hAnsi="仿宋" w:eastAsia="仿宋" w:cs="仿宋"/>
          <w:b/>
          <w:bCs/>
          <w:spacing w:val="-25"/>
          <w:sz w:val="33"/>
          <w:szCs w:val="33"/>
        </w:rPr>
      </w:pPr>
      <w:r>
        <w:rPr>
          <w:rFonts w:ascii="仿宋" w:hAnsi="仿宋" w:eastAsia="仿宋" w:cs="仿宋"/>
          <w:b/>
          <w:bCs/>
          <w:spacing w:val="-25"/>
          <w:sz w:val="33"/>
          <w:szCs w:val="33"/>
        </w:rPr>
        <w:t>附名单：</w:t>
      </w:r>
    </w:p>
    <w:tbl>
      <w:tblPr>
        <w:tblStyle w:val="3"/>
        <w:tblW w:w="8955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0"/>
        <w:gridCol w:w="4305"/>
        <w:gridCol w:w="3570"/>
      </w:tblGrid>
      <w:tr w14:paraId="0EFDA61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080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120DB0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4305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366C87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企业名称</w:t>
            </w:r>
          </w:p>
        </w:tc>
        <w:tc>
          <w:tcPr>
            <w:tcW w:w="3570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461798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统一社会信用代码/注册号</w:t>
            </w:r>
          </w:p>
        </w:tc>
      </w:tr>
      <w:tr w14:paraId="1B3831C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C2D6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4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D1145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苏州渝澄米面制品厂</w:t>
            </w:r>
          </w:p>
        </w:tc>
        <w:tc>
          <w:tcPr>
            <w:tcW w:w="3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6977A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91320507063298297W</w:t>
            </w:r>
          </w:p>
        </w:tc>
      </w:tr>
      <w:tr w14:paraId="2E94B5F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86E8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4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A7873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苏州市永顺包装滤蕊厂</w:t>
            </w:r>
          </w:p>
        </w:tc>
        <w:tc>
          <w:tcPr>
            <w:tcW w:w="3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A55E8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320507000079050</w:t>
            </w:r>
          </w:p>
        </w:tc>
      </w:tr>
      <w:tr w14:paraId="55D30F9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2065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4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E6397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苏州市骑河彩印包装厂</w:t>
            </w:r>
          </w:p>
        </w:tc>
        <w:tc>
          <w:tcPr>
            <w:tcW w:w="3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33494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320507000079076</w:t>
            </w:r>
          </w:p>
        </w:tc>
      </w:tr>
      <w:tr w14:paraId="5724906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52E0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4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619DB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苏州市相城区东华电器设备厂</w:t>
            </w:r>
          </w:p>
        </w:tc>
        <w:tc>
          <w:tcPr>
            <w:tcW w:w="3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3E106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320507000071668</w:t>
            </w:r>
          </w:p>
        </w:tc>
      </w:tr>
      <w:tr w14:paraId="56774BC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D713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4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6180E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苏州市相城区添龙复合材料厂</w:t>
            </w:r>
          </w:p>
        </w:tc>
        <w:tc>
          <w:tcPr>
            <w:tcW w:w="3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5289C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91320507720534123L</w:t>
            </w:r>
          </w:p>
        </w:tc>
      </w:tr>
      <w:tr w14:paraId="69D7691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87B9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4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708BB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苏州星洲精密五金螺丝厂</w:t>
            </w:r>
          </w:p>
        </w:tc>
        <w:tc>
          <w:tcPr>
            <w:tcW w:w="3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CCF6E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913205077732218928</w:t>
            </w:r>
          </w:p>
        </w:tc>
      </w:tr>
      <w:tr w14:paraId="53AC3EB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D5D0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4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6CB5F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苏州市相城区速腾网吧</w:t>
            </w:r>
          </w:p>
        </w:tc>
        <w:tc>
          <w:tcPr>
            <w:tcW w:w="3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6F775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913205077378403621</w:t>
            </w:r>
          </w:p>
        </w:tc>
      </w:tr>
      <w:tr w14:paraId="657DC2A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CD70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4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1E90A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苏州市鑫东益化工材料经营部</w:t>
            </w:r>
          </w:p>
        </w:tc>
        <w:tc>
          <w:tcPr>
            <w:tcW w:w="3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8777A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91320507323692021G</w:t>
            </w:r>
          </w:p>
        </w:tc>
      </w:tr>
      <w:tr w14:paraId="7A46AA2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5149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4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19790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苏州市相城区汇德电子电器厂</w:t>
            </w:r>
          </w:p>
        </w:tc>
        <w:tc>
          <w:tcPr>
            <w:tcW w:w="3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8352B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913205077286925481</w:t>
            </w:r>
          </w:p>
        </w:tc>
      </w:tr>
      <w:tr w14:paraId="54AD843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B9B4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4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5133D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苏州市相城区达丰酒厂</w:t>
            </w:r>
          </w:p>
        </w:tc>
        <w:tc>
          <w:tcPr>
            <w:tcW w:w="3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39D74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91320507X3230296X4</w:t>
            </w:r>
          </w:p>
        </w:tc>
      </w:tr>
      <w:tr w14:paraId="67B67FB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6483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4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46E18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苏州市三妞服装辅料厂</w:t>
            </w:r>
          </w:p>
        </w:tc>
        <w:tc>
          <w:tcPr>
            <w:tcW w:w="3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9428A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91320507MA1T4URT8Y</w:t>
            </w:r>
          </w:p>
        </w:tc>
      </w:tr>
      <w:tr w14:paraId="193F3AC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616D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4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47F23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苏州市花雀服饰厂</w:t>
            </w:r>
          </w:p>
        </w:tc>
        <w:tc>
          <w:tcPr>
            <w:tcW w:w="3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4BCA9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91320507MA1T4U4986</w:t>
            </w:r>
          </w:p>
        </w:tc>
      </w:tr>
      <w:tr w14:paraId="753AA67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263E14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4305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2183F4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苏州华霞纺织厂</w:t>
            </w:r>
          </w:p>
        </w:tc>
        <w:tc>
          <w:tcPr>
            <w:tcW w:w="3570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0A23CB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9132050775272380XK</w:t>
            </w:r>
          </w:p>
        </w:tc>
      </w:tr>
    </w:tbl>
    <w:p w14:paraId="07155B4F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82" w:line="560" w:lineRule="exact"/>
        <w:jc w:val="both"/>
        <w:textAlignment w:val="baseline"/>
        <w:rPr>
          <w:rFonts w:hint="eastAsia" w:ascii="仿宋_GB2312" w:hAnsi="仿宋_GB2312" w:eastAsia="仿宋_GB2312" w:cs="仿宋_GB2312"/>
          <w:snapToGrid/>
          <w:color w:val="000000"/>
          <w:spacing w:val="4"/>
          <w:kern w:val="2"/>
          <w:sz w:val="32"/>
          <w:szCs w:val="32"/>
          <w:lang w:val="en-US" w:eastAsia="zh-CN" w:bidi="ar-SA"/>
        </w:rPr>
      </w:pPr>
    </w:p>
    <w:p w14:paraId="4B3925C6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textAlignment w:val="baseline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E5ZGM0NWNkY2JiY2U0ZDM1ODI5MGYzYjY2ZDJmMzIifQ=="/>
  </w:docVars>
  <w:rsids>
    <w:rsidRoot w:val="00000000"/>
    <w:rsid w:val="3E7C0BAB"/>
    <w:rsid w:val="3FEB3331"/>
    <w:rsid w:val="43BA0614"/>
    <w:rsid w:val="4DA74071"/>
    <w:rsid w:val="50364AB3"/>
    <w:rsid w:val="7568491D"/>
    <w:rsid w:val="7B8178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仿宋" w:hAnsi="仿宋" w:eastAsia="仿宋" w:cs="仿宋"/>
      <w:sz w:val="25"/>
      <w:szCs w:val="25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804</Words>
  <Characters>939</Characters>
  <Lines>0</Lines>
  <Paragraphs>0</Paragraphs>
  <TotalTime>0</TotalTime>
  <ScaleCrop>false</ScaleCrop>
  <LinksUpToDate>false</LinksUpToDate>
  <CharactersWithSpaces>943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2024-05-06T02:58:00Z</dcterms:created>
  <dc:creator>Administrator.BF-20221025FHKK</dc:creator>
  <cp:lastModifiedBy>Butterfly</cp:lastModifiedBy>
  <cp:lastPrinted>2024-05-06T04:08:00Z</cp:lastPrinted>
  <dcterms:modified xsi:type="dcterms:W3CDTF">2025-05-01T09:07:13Z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AF4BC242FAB4440B9E805CC33E1E604E_12</vt:lpwstr>
  </property>
  <property fmtid="{D5CDD505-2E9C-101B-9397-08002B2CF9AE}" pid="4" name="KSOTemplateDocerSaveRecord">
    <vt:lpwstr>eyJoZGlkIjoiYzg1YThmYzVkOWEzZTAyOWVmYzcyZWNlMThjMTgxMjMiLCJ1c2VySWQiOiIzNjc1OTY2NjgifQ==</vt:lpwstr>
  </property>
</Properties>
</file>